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C183" w14:textId="166299DF" w:rsidR="005C19C0" w:rsidRPr="00180E75" w:rsidRDefault="005C19C0" w:rsidP="005C19C0">
      <w:pPr>
        <w:pStyle w:val="a7"/>
        <w:tabs>
          <w:tab w:val="right" w:pos="9630"/>
        </w:tabs>
        <w:rPr>
          <w:rFonts w:ascii="Times New Roman" w:hAnsi="Times New Roman"/>
          <w:noProof w:val="0"/>
          <w:sz w:val="24"/>
          <w:lang w:val="en-US"/>
        </w:rPr>
      </w:pPr>
      <w:r w:rsidRPr="00370856">
        <w:rPr>
          <w:rFonts w:ascii="Times New Roman" w:hAnsi="Times New Roman"/>
          <w:noProof w:val="0"/>
          <w:sz w:val="24"/>
        </w:rPr>
        <w:t>3GPP TSG-RAN WG</w:t>
      </w:r>
      <w:r w:rsidR="008C7439">
        <w:rPr>
          <w:rFonts w:ascii="Times New Roman" w:hAnsi="Times New Roman"/>
          <w:noProof w:val="0"/>
          <w:sz w:val="24"/>
        </w:rPr>
        <w:t>2</w:t>
      </w:r>
      <w:r w:rsidRPr="00370856">
        <w:rPr>
          <w:rFonts w:ascii="Times New Roman" w:hAnsi="Times New Roman"/>
          <w:noProof w:val="0"/>
          <w:sz w:val="24"/>
        </w:rPr>
        <w:t xml:space="preserve"> Meeting #1</w:t>
      </w:r>
      <w:r w:rsidR="008C7439">
        <w:rPr>
          <w:rFonts w:ascii="Times New Roman" w:hAnsi="Times New Roman"/>
          <w:noProof w:val="0"/>
          <w:sz w:val="24"/>
        </w:rPr>
        <w:t>20</w:t>
      </w:r>
      <w:r w:rsidRPr="00370856">
        <w:rPr>
          <w:rFonts w:ascii="Times New Roman" w:hAnsi="Times New Roman"/>
          <w:noProof w:val="0"/>
          <w:sz w:val="24"/>
        </w:rPr>
        <w:tab/>
      </w:r>
      <w:r w:rsidR="00180E75" w:rsidRPr="00180E75">
        <w:rPr>
          <w:rFonts w:ascii="Times New Roman" w:hAnsi="Times New Roman"/>
          <w:noProof w:val="0"/>
          <w:sz w:val="24"/>
        </w:rPr>
        <w:t>R2-2212016</w:t>
      </w:r>
    </w:p>
    <w:p w14:paraId="67EB9102" w14:textId="1BF4FEE0" w:rsidR="005C19C0" w:rsidRPr="00370856" w:rsidRDefault="00370856" w:rsidP="005C19C0">
      <w:pPr>
        <w:pStyle w:val="ac"/>
        <w:jc w:val="both"/>
        <w:rPr>
          <w:rFonts w:ascii="Times New Roman" w:eastAsia="MS UI Gothic" w:hAnsi="Times New Roman"/>
          <w:i w:val="0"/>
          <w:noProof w:val="0"/>
          <w:sz w:val="24"/>
          <w:szCs w:val="22"/>
        </w:rPr>
      </w:pPr>
      <w:r w:rsidRPr="00370856">
        <w:rPr>
          <w:rFonts w:ascii="Times New Roman" w:hAnsi="Times New Roman"/>
          <w:i w:val="0"/>
          <w:noProof w:val="0"/>
          <w:sz w:val="24"/>
        </w:rPr>
        <w:t>Toulouse, France</w:t>
      </w:r>
      <w:r w:rsidR="005C19C0" w:rsidRPr="00370856">
        <w:rPr>
          <w:rFonts w:ascii="Times New Roman" w:hAnsi="Times New Roman"/>
          <w:i w:val="0"/>
          <w:noProof w:val="0"/>
          <w:sz w:val="24"/>
        </w:rPr>
        <w:t xml:space="preserve">, </w:t>
      </w:r>
      <w:r w:rsidR="00764D4E" w:rsidRPr="00370856">
        <w:rPr>
          <w:rFonts w:ascii="Times New Roman" w:hAnsi="Times New Roman"/>
          <w:i w:val="0"/>
          <w:noProof w:val="0"/>
          <w:sz w:val="24"/>
        </w:rPr>
        <w:t>1</w:t>
      </w:r>
      <w:r w:rsidR="001805B2" w:rsidRPr="00370856">
        <w:rPr>
          <w:rFonts w:ascii="Times New Roman" w:hAnsi="Times New Roman"/>
          <w:i w:val="0"/>
          <w:noProof w:val="0"/>
          <w:sz w:val="24"/>
        </w:rPr>
        <w:t>4</w:t>
      </w:r>
      <w:r w:rsidR="00764D4E" w:rsidRPr="00370856">
        <w:rPr>
          <w:rFonts w:ascii="Times New Roman" w:hAnsi="Times New Roman"/>
          <w:i w:val="0"/>
          <w:noProof w:val="0"/>
          <w:sz w:val="24"/>
          <w:vertAlign w:val="superscript"/>
        </w:rPr>
        <w:t>th</w:t>
      </w:r>
      <w:r w:rsidR="005C19C0" w:rsidRPr="00370856">
        <w:rPr>
          <w:rFonts w:ascii="Times New Roman" w:hAnsi="Times New Roman"/>
          <w:i w:val="0"/>
          <w:noProof w:val="0"/>
          <w:sz w:val="24"/>
        </w:rPr>
        <w:t xml:space="preserve"> </w:t>
      </w:r>
      <w:r w:rsidR="000375CE" w:rsidRPr="00370856">
        <w:rPr>
          <w:rFonts w:ascii="Times New Roman" w:hAnsi="Times New Roman"/>
          <w:i w:val="0"/>
          <w:noProof w:val="0"/>
          <w:sz w:val="24"/>
        </w:rPr>
        <w:t xml:space="preserve">– </w:t>
      </w:r>
      <w:r w:rsidR="00986CCA" w:rsidRPr="00370856">
        <w:rPr>
          <w:rFonts w:ascii="Times New Roman" w:hAnsi="Times New Roman"/>
          <w:i w:val="0"/>
          <w:noProof w:val="0"/>
          <w:sz w:val="24"/>
        </w:rPr>
        <w:t>18</w:t>
      </w:r>
      <w:r w:rsidR="00986CCA" w:rsidRPr="00370856">
        <w:rPr>
          <w:rFonts w:ascii="Times New Roman" w:hAnsi="Times New Roman"/>
          <w:i w:val="0"/>
          <w:noProof w:val="0"/>
          <w:sz w:val="24"/>
          <w:vertAlign w:val="superscript"/>
        </w:rPr>
        <w:t>th</w:t>
      </w:r>
      <w:r w:rsidR="00986CCA" w:rsidRPr="00370856">
        <w:rPr>
          <w:rFonts w:ascii="Times New Roman" w:hAnsi="Times New Roman"/>
          <w:i w:val="0"/>
          <w:noProof w:val="0"/>
          <w:sz w:val="24"/>
        </w:rPr>
        <w:t xml:space="preserve"> </w:t>
      </w:r>
      <w:r w:rsidR="001805B2" w:rsidRPr="00370856">
        <w:rPr>
          <w:rFonts w:ascii="Times New Roman" w:hAnsi="Times New Roman"/>
          <w:i w:val="0"/>
          <w:noProof w:val="0"/>
          <w:sz w:val="24"/>
        </w:rPr>
        <w:t>November</w:t>
      </w:r>
      <w:r w:rsidR="000375CE" w:rsidRPr="00370856">
        <w:rPr>
          <w:rFonts w:ascii="Times New Roman" w:hAnsi="Times New Roman"/>
          <w:i w:val="0"/>
          <w:noProof w:val="0"/>
          <w:sz w:val="24"/>
        </w:rPr>
        <w:t xml:space="preserve">, </w:t>
      </w:r>
      <w:r w:rsidR="005C19C0" w:rsidRPr="00370856">
        <w:rPr>
          <w:rFonts w:ascii="Times New Roman" w:hAnsi="Times New Roman"/>
          <w:i w:val="0"/>
          <w:noProof w:val="0"/>
          <w:sz w:val="24"/>
        </w:rPr>
        <w:t>202</w:t>
      </w:r>
      <w:r w:rsidR="004612A8" w:rsidRPr="00370856">
        <w:rPr>
          <w:rFonts w:ascii="Times New Roman" w:hAnsi="Times New Roman"/>
          <w:i w:val="0"/>
          <w:noProof w:val="0"/>
          <w:sz w:val="24"/>
        </w:rPr>
        <w:t>2</w:t>
      </w:r>
      <w:r w:rsidR="005C19C0" w:rsidRPr="00370856">
        <w:rPr>
          <w:rFonts w:ascii="Times New Roman" w:eastAsia="MS UI Gothic" w:hAnsi="Times New Roman"/>
          <w:i w:val="0"/>
          <w:noProof w:val="0"/>
          <w:sz w:val="24"/>
          <w:szCs w:val="22"/>
        </w:rPr>
        <w:tab/>
      </w:r>
    </w:p>
    <w:p w14:paraId="5326F26F" w14:textId="77777777" w:rsidR="005C19C0" w:rsidRPr="00370856" w:rsidRDefault="005C19C0" w:rsidP="005C19C0">
      <w:pPr>
        <w:pStyle w:val="ac"/>
        <w:jc w:val="both"/>
        <w:rPr>
          <w:rFonts w:ascii="Times New Roman" w:eastAsia="宋体" w:hAnsi="Times New Roman"/>
          <w:b w:val="0"/>
          <w:i w:val="0"/>
          <w:noProof w:val="0"/>
          <w:sz w:val="24"/>
          <w:szCs w:val="18"/>
        </w:rPr>
      </w:pPr>
    </w:p>
    <w:p w14:paraId="182F7E11" w14:textId="62220535" w:rsidR="005C19C0" w:rsidRPr="00370856" w:rsidRDefault="005C19C0" w:rsidP="005C19C0">
      <w:pPr>
        <w:tabs>
          <w:tab w:val="left" w:pos="1985"/>
        </w:tabs>
        <w:ind w:left="1980" w:hanging="1980"/>
        <w:rPr>
          <w:sz w:val="24"/>
        </w:rPr>
      </w:pPr>
      <w:r w:rsidRPr="00370856">
        <w:rPr>
          <w:b/>
          <w:sz w:val="24"/>
        </w:rPr>
        <w:t>Title:</w:t>
      </w:r>
      <w:r w:rsidRPr="00370856">
        <w:rPr>
          <w:sz w:val="24"/>
        </w:rPr>
        <w:t xml:space="preserve"> </w:t>
      </w:r>
      <w:r w:rsidRPr="00370856">
        <w:rPr>
          <w:sz w:val="24"/>
        </w:rPr>
        <w:tab/>
      </w:r>
      <w:r w:rsidR="00180E75" w:rsidRPr="00180E75">
        <w:rPr>
          <w:sz w:val="24"/>
        </w:rPr>
        <w:t>BAP impact in DU migration and PCI/TAC/RANAC issues for mobile IAB</w:t>
      </w:r>
    </w:p>
    <w:p w14:paraId="710421AC" w14:textId="74995A88" w:rsidR="005C19C0" w:rsidRPr="00370856" w:rsidRDefault="005C19C0" w:rsidP="005C19C0">
      <w:pPr>
        <w:tabs>
          <w:tab w:val="left" w:pos="1985"/>
        </w:tabs>
        <w:ind w:left="1980" w:hanging="1980"/>
        <w:rPr>
          <w:rStyle w:val="af8"/>
          <w:rFonts w:ascii="Times New Roman" w:hAnsi="Times New Roman"/>
        </w:rPr>
      </w:pPr>
      <w:r w:rsidRPr="00370856">
        <w:rPr>
          <w:b/>
          <w:sz w:val="24"/>
        </w:rPr>
        <w:t xml:space="preserve">Source: </w:t>
      </w:r>
      <w:r w:rsidRPr="00370856">
        <w:rPr>
          <w:b/>
          <w:sz w:val="24"/>
        </w:rPr>
        <w:tab/>
      </w:r>
      <w:r w:rsidRPr="00370856">
        <w:rPr>
          <w:rStyle w:val="af8"/>
          <w:rFonts w:ascii="Times New Roman" w:hAnsi="Times New Roman"/>
        </w:rPr>
        <w:t>Huawei</w:t>
      </w:r>
      <w:r w:rsidR="00370856" w:rsidRPr="00370856">
        <w:rPr>
          <w:rFonts w:eastAsia="宋体"/>
          <w:sz w:val="24"/>
        </w:rPr>
        <w:t>, HiSilicon</w:t>
      </w:r>
    </w:p>
    <w:p w14:paraId="468CB8F9" w14:textId="3D0BA613" w:rsidR="005C19C0" w:rsidRPr="00370856" w:rsidRDefault="005C19C0" w:rsidP="005C19C0">
      <w:pPr>
        <w:tabs>
          <w:tab w:val="left" w:pos="1985"/>
        </w:tabs>
        <w:rPr>
          <w:rStyle w:val="af8"/>
          <w:rFonts w:ascii="Times New Roman" w:hAnsi="Times New Roman"/>
        </w:rPr>
      </w:pPr>
      <w:r w:rsidRPr="00370856">
        <w:rPr>
          <w:b/>
          <w:sz w:val="24"/>
        </w:rPr>
        <w:t>Agenda item:</w:t>
      </w:r>
      <w:r w:rsidRPr="00370856">
        <w:rPr>
          <w:sz w:val="24"/>
        </w:rPr>
        <w:tab/>
      </w:r>
      <w:r w:rsidR="00370856">
        <w:rPr>
          <w:sz w:val="24"/>
        </w:rPr>
        <w:t>8.12</w:t>
      </w:r>
      <w:r w:rsidRPr="00370856">
        <w:rPr>
          <w:sz w:val="24"/>
        </w:rPr>
        <w:t>.</w:t>
      </w:r>
      <w:r w:rsidR="00017A5A" w:rsidRPr="00370856">
        <w:rPr>
          <w:sz w:val="24"/>
        </w:rPr>
        <w:t>3</w:t>
      </w:r>
    </w:p>
    <w:p w14:paraId="1FA0FB1B" w14:textId="2E22CFF9" w:rsidR="005C19C0" w:rsidRPr="00370856" w:rsidRDefault="005C19C0" w:rsidP="005C19C0">
      <w:pPr>
        <w:tabs>
          <w:tab w:val="left" w:pos="1985"/>
        </w:tabs>
        <w:ind w:left="1980" w:hanging="1980"/>
        <w:rPr>
          <w:rFonts w:eastAsia="宋体"/>
        </w:rPr>
      </w:pPr>
      <w:r w:rsidRPr="00370856">
        <w:rPr>
          <w:b/>
          <w:sz w:val="24"/>
        </w:rPr>
        <w:t xml:space="preserve">Document </w:t>
      </w:r>
      <w:r w:rsidR="00370856">
        <w:rPr>
          <w:b/>
          <w:sz w:val="24"/>
        </w:rPr>
        <w:t>for</w:t>
      </w:r>
      <w:r w:rsidRPr="00370856">
        <w:rPr>
          <w:b/>
          <w:sz w:val="24"/>
        </w:rPr>
        <w:t>:</w:t>
      </w:r>
      <w:r w:rsidRPr="00370856">
        <w:rPr>
          <w:sz w:val="24"/>
        </w:rPr>
        <w:tab/>
      </w:r>
      <w:r w:rsidR="00764D4E" w:rsidRPr="00370856">
        <w:rPr>
          <w:sz w:val="24"/>
        </w:rPr>
        <w:t>Discussion</w:t>
      </w:r>
      <w:r w:rsidRPr="00370856">
        <w:rPr>
          <w:b/>
          <w:sz w:val="28"/>
        </w:rPr>
        <w:tab/>
      </w:r>
    </w:p>
    <w:p w14:paraId="7DCDFBB1" w14:textId="16DF8A08" w:rsidR="005C19C0" w:rsidRPr="00370856" w:rsidRDefault="00472BA4" w:rsidP="005C19C0">
      <w:pPr>
        <w:pStyle w:val="10"/>
        <w:tabs>
          <w:tab w:val="num" w:pos="432"/>
        </w:tabs>
        <w:overflowPunct w:val="0"/>
        <w:autoSpaceDE w:val="0"/>
        <w:autoSpaceDN w:val="0"/>
        <w:adjustRightInd w:val="0"/>
        <w:ind w:left="432" w:hanging="432"/>
        <w:rPr>
          <w:rFonts w:ascii="Times New Roman" w:hAnsi="Times New Roman"/>
        </w:rPr>
      </w:pPr>
      <w:r w:rsidRPr="00370856">
        <w:rPr>
          <w:rFonts w:ascii="Times New Roman" w:hAnsi="Times New Roman"/>
        </w:rPr>
        <w:t xml:space="preserve">1 </w:t>
      </w:r>
      <w:r w:rsidR="005C19C0" w:rsidRPr="00370856">
        <w:rPr>
          <w:rFonts w:ascii="Times New Roman" w:hAnsi="Times New Roman"/>
        </w:rPr>
        <w:t>Introduction</w:t>
      </w:r>
      <w:bookmarkStart w:id="0" w:name="_Ref189809556"/>
      <w:bookmarkStart w:id="1" w:name="_Ref174151459"/>
    </w:p>
    <w:p w14:paraId="046A3661" w14:textId="4554B8C8" w:rsidR="00370856" w:rsidRPr="00370856" w:rsidRDefault="00370856" w:rsidP="00370856">
      <w:pPr>
        <w:rPr>
          <w:rFonts w:eastAsia="Symbol"/>
        </w:rPr>
      </w:pPr>
      <w:r w:rsidRPr="00370856">
        <w:rPr>
          <w:rFonts w:eastAsia="Symbol"/>
        </w:rPr>
        <w:t>During the last RA</w:t>
      </w:r>
      <w:r w:rsidR="008C7439">
        <w:rPr>
          <w:rFonts w:eastAsia="Symbol"/>
        </w:rPr>
        <w:t>N2 meeting, following agreement</w:t>
      </w:r>
      <w:r w:rsidRPr="00370856">
        <w:rPr>
          <w:rFonts w:eastAsia="Symbol"/>
        </w:rPr>
        <w:t xml:space="preserve"> </w:t>
      </w:r>
      <w:r w:rsidRPr="00370856">
        <w:rPr>
          <w:rFonts w:eastAsia="Symbol"/>
        </w:rPr>
        <w:fldChar w:fldCharType="begin"/>
      </w:r>
      <w:r w:rsidRPr="00370856">
        <w:rPr>
          <w:rFonts w:eastAsia="Symbol"/>
        </w:rPr>
        <w:instrText xml:space="preserve"> REF _Ref114853516 \r \h  \* MERGEFORMAT </w:instrText>
      </w:r>
      <w:r w:rsidRPr="00370856">
        <w:rPr>
          <w:rFonts w:eastAsia="Symbol"/>
        </w:rPr>
      </w:r>
      <w:r w:rsidRPr="00370856">
        <w:rPr>
          <w:rFonts w:eastAsia="Symbol"/>
        </w:rPr>
        <w:fldChar w:fldCharType="separate"/>
      </w:r>
      <w:r w:rsidRPr="00370856">
        <w:rPr>
          <w:rFonts w:eastAsia="Symbol"/>
        </w:rPr>
        <w:t>[1]</w:t>
      </w:r>
      <w:r w:rsidRPr="00370856">
        <w:rPr>
          <w:rFonts w:eastAsia="Symbol"/>
        </w:rPr>
        <w:fldChar w:fldCharType="end"/>
      </w:r>
      <w:r w:rsidRPr="00370856">
        <w:rPr>
          <w:rFonts w:eastAsia="Symbol"/>
        </w:rPr>
        <w:t xml:space="preserve"> w</w:t>
      </w:r>
      <w:r w:rsidR="008C7439">
        <w:rPr>
          <w:rFonts w:eastAsia="Symbol"/>
        </w:rPr>
        <w:t>as</w:t>
      </w:r>
      <w:r w:rsidRPr="00370856">
        <w:rPr>
          <w:rFonts w:eastAsia="Symbol"/>
        </w:rPr>
        <w:t xml:space="preserve"> achieved for full migration,</w:t>
      </w:r>
    </w:p>
    <w:p w14:paraId="27643EBC" w14:textId="77777777" w:rsidR="008C7439" w:rsidRPr="008C7439" w:rsidRDefault="008C7439" w:rsidP="005B4A14">
      <w:pPr>
        <w:pStyle w:val="af9"/>
        <w:numPr>
          <w:ilvl w:val="0"/>
          <w:numId w:val="24"/>
        </w:numPr>
        <w:ind w:firstLineChars="0"/>
        <w:rPr>
          <w:rFonts w:eastAsia="Symbol"/>
          <w:i/>
        </w:rPr>
      </w:pPr>
      <w:r w:rsidRPr="008C7439">
        <w:rPr>
          <w:rFonts w:eastAsia="Symbol"/>
          <w:i/>
        </w:rPr>
        <w:t>RAN2 focuses on the scenario where, during full migration, the UE sees the two logical DU cells as different physical cells (e.g. with different PCI if same carrier), and where the two logical DU cells use separate physical resources (i.e., different carriers, or orthogonal time and frequency resources of the same carrier, as supported by legacy L1).</w:t>
      </w:r>
    </w:p>
    <w:p w14:paraId="1CB29C3B" w14:textId="453017D3" w:rsidR="00BE7C5F" w:rsidRPr="00370856" w:rsidRDefault="005103E3" w:rsidP="00472BA4">
      <w:pPr>
        <w:spacing w:after="60"/>
      </w:pPr>
      <w:r w:rsidRPr="00370856">
        <w:t>T</w:t>
      </w:r>
      <w:r w:rsidR="00472BA4" w:rsidRPr="00370856">
        <w:t xml:space="preserve">his </w:t>
      </w:r>
      <w:r w:rsidR="005B6B8B" w:rsidRPr="00370856">
        <w:t>contribution</w:t>
      </w:r>
      <w:r w:rsidRPr="00370856">
        <w:t xml:space="preserve"> </w:t>
      </w:r>
      <w:r w:rsidR="00EF700E" w:rsidRPr="00370856">
        <w:t>mainly focus</w:t>
      </w:r>
      <w:r w:rsidRPr="00370856">
        <w:t>es</w:t>
      </w:r>
      <w:r w:rsidR="00EF700E" w:rsidRPr="00370856">
        <w:t xml:space="preserve"> on</w:t>
      </w:r>
      <w:r w:rsidR="005B6B8B" w:rsidRPr="00370856">
        <w:t xml:space="preserve"> the </w:t>
      </w:r>
      <w:r w:rsidR="00BE7C5F" w:rsidRPr="00370856">
        <w:t xml:space="preserve">remaining issues of </w:t>
      </w:r>
      <w:r w:rsidR="008C7439" w:rsidRPr="00370856">
        <w:rPr>
          <w:rFonts w:eastAsia="Symbol"/>
        </w:rPr>
        <w:t>full migration and interference mitigation</w:t>
      </w:r>
      <w:r w:rsidR="00BE7C5F" w:rsidRPr="00370856">
        <w:t xml:space="preserve"> for mobile IAB.</w:t>
      </w:r>
    </w:p>
    <w:p w14:paraId="73E526F1" w14:textId="5B1880CD" w:rsidR="00472BA4" w:rsidRPr="00370856" w:rsidRDefault="00472BA4" w:rsidP="00472BA4">
      <w:pPr>
        <w:pStyle w:val="10"/>
        <w:tabs>
          <w:tab w:val="num" w:pos="432"/>
        </w:tabs>
        <w:overflowPunct w:val="0"/>
        <w:autoSpaceDE w:val="0"/>
        <w:autoSpaceDN w:val="0"/>
        <w:adjustRightInd w:val="0"/>
        <w:ind w:left="432" w:hanging="432"/>
        <w:rPr>
          <w:rFonts w:ascii="Times New Roman" w:hAnsi="Times New Roman"/>
        </w:rPr>
      </w:pPr>
      <w:r w:rsidRPr="00370856">
        <w:rPr>
          <w:rFonts w:ascii="Times New Roman" w:hAnsi="Times New Roman"/>
        </w:rPr>
        <w:t>2 Discussion</w:t>
      </w:r>
    </w:p>
    <w:p w14:paraId="0D0A49CB" w14:textId="1BF53C97" w:rsidR="009A785A" w:rsidRPr="00370856" w:rsidRDefault="00CD58EE" w:rsidP="005034E5">
      <w:pPr>
        <w:pStyle w:val="21"/>
        <w:rPr>
          <w:rFonts w:ascii="Times New Roman" w:eastAsia="宋体" w:hAnsi="Times New Roman"/>
          <w:lang w:eastAsia="zh-CN"/>
        </w:rPr>
      </w:pPr>
      <w:r w:rsidRPr="00370856">
        <w:rPr>
          <w:rFonts w:ascii="Times New Roman" w:eastAsia="宋体" w:hAnsi="Times New Roman"/>
          <w:lang w:eastAsia="zh-CN"/>
        </w:rPr>
        <w:t xml:space="preserve">2.1 </w:t>
      </w:r>
      <w:r w:rsidR="00F831F8">
        <w:rPr>
          <w:rFonts w:ascii="Times New Roman" w:eastAsia="宋体" w:hAnsi="Times New Roman"/>
          <w:lang w:eastAsia="zh-CN"/>
        </w:rPr>
        <w:t>BAP issues for f</w:t>
      </w:r>
      <w:r w:rsidR="00370856">
        <w:rPr>
          <w:rFonts w:ascii="Times New Roman" w:eastAsia="宋体" w:hAnsi="Times New Roman"/>
          <w:lang w:eastAsia="zh-CN"/>
        </w:rPr>
        <w:t>ull migration</w:t>
      </w:r>
      <w:r w:rsidR="000D3FDD">
        <w:rPr>
          <w:rFonts w:ascii="Times New Roman" w:eastAsia="宋体" w:hAnsi="Times New Roman"/>
          <w:lang w:eastAsia="zh-CN"/>
        </w:rPr>
        <w:t>/DU migration</w:t>
      </w:r>
    </w:p>
    <w:p w14:paraId="1754B024" w14:textId="7A19BC89" w:rsidR="004B55B7" w:rsidRPr="004B55B7" w:rsidRDefault="008C7439" w:rsidP="004B55B7">
      <w:pPr>
        <w:rPr>
          <w:rFonts w:eastAsia="宋体"/>
          <w:lang w:eastAsia="zh-CN"/>
        </w:rPr>
      </w:pPr>
      <w:r>
        <w:rPr>
          <w:rFonts w:eastAsia="宋体"/>
          <w:lang w:eastAsia="zh-CN"/>
        </w:rPr>
        <w:t>R</w:t>
      </w:r>
      <w:r w:rsidR="004B55B7" w:rsidRPr="004B55B7">
        <w:rPr>
          <w:rFonts w:eastAsia="宋体"/>
          <w:lang w:eastAsia="zh-CN"/>
        </w:rPr>
        <w:t xml:space="preserve">egarding the </w:t>
      </w:r>
      <w:r>
        <w:rPr>
          <w:rFonts w:eastAsia="宋体"/>
          <w:lang w:eastAsia="zh-CN"/>
        </w:rPr>
        <w:t>two logical DUs, there exist</w:t>
      </w:r>
      <w:r w:rsidR="004B55B7" w:rsidRPr="004B55B7">
        <w:rPr>
          <w:rFonts w:eastAsia="宋体"/>
          <w:lang w:eastAsia="zh-CN"/>
        </w:rPr>
        <w:t xml:space="preserve"> some issues to be addressed in BAP to support full migration.</w:t>
      </w:r>
    </w:p>
    <w:p w14:paraId="26F602F0" w14:textId="4360CA9C" w:rsidR="004B55B7" w:rsidRPr="004B55B7" w:rsidRDefault="004B55B7" w:rsidP="005B4A14">
      <w:pPr>
        <w:pStyle w:val="af9"/>
        <w:numPr>
          <w:ilvl w:val="0"/>
          <w:numId w:val="23"/>
        </w:numPr>
        <w:ind w:firstLineChars="0"/>
        <w:rPr>
          <w:rFonts w:eastAsia="宋体"/>
          <w:b/>
          <w:lang w:eastAsia="zh-CN"/>
        </w:rPr>
      </w:pPr>
      <w:r w:rsidRPr="004B55B7">
        <w:rPr>
          <w:rFonts w:eastAsia="宋体"/>
          <w:b/>
          <w:lang w:eastAsia="zh-CN"/>
        </w:rPr>
        <w:t xml:space="preserve">Issue #1: How many sets of </w:t>
      </w:r>
      <w:r w:rsidR="007678B0">
        <w:rPr>
          <w:rFonts w:eastAsia="宋体"/>
          <w:b/>
          <w:lang w:eastAsia="zh-CN"/>
        </w:rPr>
        <w:t xml:space="preserve">BAP </w:t>
      </w:r>
      <w:r w:rsidRPr="004B55B7">
        <w:rPr>
          <w:rFonts w:eastAsia="宋体"/>
          <w:b/>
          <w:lang w:eastAsia="zh-CN"/>
        </w:rPr>
        <w:t xml:space="preserve">configurations will be retained on the </w:t>
      </w:r>
      <w:r w:rsidR="008C7439">
        <w:rPr>
          <w:rFonts w:eastAsia="宋体"/>
          <w:b/>
          <w:lang w:eastAsia="zh-CN"/>
        </w:rPr>
        <w:t xml:space="preserve">mobile </w:t>
      </w:r>
      <w:r w:rsidRPr="004B55B7">
        <w:rPr>
          <w:rFonts w:eastAsia="宋体"/>
          <w:b/>
          <w:lang w:eastAsia="zh-CN"/>
        </w:rPr>
        <w:t>IAB-MT?</w:t>
      </w:r>
    </w:p>
    <w:p w14:paraId="46DB6AF5" w14:textId="08612F33" w:rsidR="004B55B7" w:rsidRPr="004B55B7" w:rsidRDefault="004B55B7" w:rsidP="004B55B7">
      <w:pPr>
        <w:pStyle w:val="af9"/>
        <w:ind w:left="420" w:firstLineChars="0" w:firstLine="0"/>
        <w:rPr>
          <w:rFonts w:eastAsia="宋体"/>
          <w:lang w:eastAsia="zh-CN"/>
        </w:rPr>
      </w:pPr>
      <w:r w:rsidRPr="004B55B7">
        <w:rPr>
          <w:rFonts w:eastAsia="宋体"/>
          <w:lang w:eastAsia="zh-CN"/>
        </w:rPr>
        <w:t xml:space="preserve">Regardless of the migration sequence, there is only one IAB-MT but with two logical DUs controlled by different CUs at the </w:t>
      </w:r>
      <w:r w:rsidR="008C7439">
        <w:rPr>
          <w:rFonts w:eastAsia="宋体"/>
          <w:lang w:eastAsia="zh-CN"/>
        </w:rPr>
        <w:t>mobile IAB-</w:t>
      </w:r>
      <w:r w:rsidRPr="004B55B7">
        <w:rPr>
          <w:rFonts w:eastAsia="宋体"/>
          <w:lang w:eastAsia="zh-CN"/>
        </w:rPr>
        <w:t>node at a time. Then, two logical DUs may receive two sets of F1AP configurations from different CUs. Then how many sets of BAP configurations will be retained on the IAB-MT side should be discussed. The key point is whether IAB-MT BAP configuration needs to differentiate the ones from CU1 and the other ones from CU2</w:t>
      </w:r>
      <w:r w:rsidR="009B0490">
        <w:rPr>
          <w:rFonts w:eastAsia="宋体"/>
          <w:lang w:eastAsia="zh-CN"/>
        </w:rPr>
        <w:t>, i.e.</w:t>
      </w:r>
      <w:r w:rsidR="00346DD1">
        <w:rPr>
          <w:rFonts w:eastAsia="宋体"/>
          <w:lang w:eastAsia="zh-CN"/>
        </w:rPr>
        <w:t>,</w:t>
      </w:r>
      <w:r w:rsidR="009B0490">
        <w:rPr>
          <w:rFonts w:eastAsia="宋体"/>
          <w:lang w:eastAsia="zh-CN"/>
        </w:rPr>
        <w:t xml:space="preserve"> logical DU specific </w:t>
      </w:r>
      <w:r w:rsidR="009B0490" w:rsidRPr="004B55B7">
        <w:rPr>
          <w:rFonts w:eastAsia="宋体"/>
          <w:lang w:eastAsia="zh-CN"/>
        </w:rPr>
        <w:t>IAB-MT BAP configuration</w:t>
      </w:r>
      <w:r w:rsidRPr="004B55B7">
        <w:rPr>
          <w:rFonts w:eastAsia="宋体"/>
          <w:lang w:eastAsia="zh-CN"/>
        </w:rPr>
        <w:t>.</w:t>
      </w:r>
    </w:p>
    <w:p w14:paraId="6AA31490" w14:textId="37014F1E" w:rsidR="004B55B7" w:rsidRPr="004B55B7" w:rsidRDefault="004B55B7" w:rsidP="005B4A14">
      <w:pPr>
        <w:pStyle w:val="af9"/>
        <w:numPr>
          <w:ilvl w:val="0"/>
          <w:numId w:val="23"/>
        </w:numPr>
        <w:ind w:firstLineChars="0"/>
        <w:rPr>
          <w:rFonts w:eastAsia="宋体"/>
          <w:b/>
          <w:lang w:eastAsia="zh-CN"/>
        </w:rPr>
      </w:pPr>
      <w:r w:rsidRPr="004B55B7">
        <w:rPr>
          <w:rFonts w:eastAsia="宋体"/>
          <w:b/>
          <w:lang w:eastAsia="zh-CN"/>
        </w:rPr>
        <w:t>Issue #2: How does the BAP at IAB-MT differentiate the DL traffic to each collocated logical DU?</w:t>
      </w:r>
    </w:p>
    <w:p w14:paraId="0D58D72B" w14:textId="7AF9CEC7" w:rsidR="004B55B7" w:rsidRPr="004B55B7" w:rsidRDefault="004B55B7" w:rsidP="004B55B7">
      <w:pPr>
        <w:pStyle w:val="af9"/>
        <w:ind w:left="420" w:firstLineChars="0" w:firstLine="0"/>
        <w:rPr>
          <w:rFonts w:eastAsia="宋体"/>
          <w:lang w:eastAsia="zh-CN"/>
        </w:rPr>
      </w:pPr>
      <w:r w:rsidRPr="004B55B7">
        <w:rPr>
          <w:rFonts w:eastAsia="宋体"/>
          <w:lang w:eastAsia="zh-CN"/>
        </w:rPr>
        <w:t xml:space="preserve">Since the two logical DUs can maintain their F1 interfaces to two different IAB-donor-CUs simultaneously, if the mobile IAB-MT receives a DL BAP PDU which contains the mobile IAB node’s BAP address, and the corresponding BAP SDU should be delivered to the upper layer of the IAB-MT’s BAP layer, the BAP entity at the </w:t>
      </w:r>
      <w:r w:rsidR="008C7439">
        <w:rPr>
          <w:rFonts w:eastAsia="宋体"/>
          <w:lang w:eastAsia="zh-CN"/>
        </w:rPr>
        <w:t>mobile</w:t>
      </w:r>
      <w:r w:rsidRPr="004B55B7">
        <w:rPr>
          <w:rFonts w:eastAsia="宋体"/>
          <w:lang w:eastAsia="zh-CN"/>
        </w:rPr>
        <w:t xml:space="preserve"> IAB-MT should know to which logical DU the BAP SDU is to be delivered. It is still unclear how the BAP entity at the </w:t>
      </w:r>
      <w:r w:rsidR="008C7439">
        <w:rPr>
          <w:rFonts w:eastAsia="宋体"/>
          <w:lang w:eastAsia="zh-CN"/>
        </w:rPr>
        <w:t>mobile</w:t>
      </w:r>
      <w:r w:rsidRPr="004B55B7">
        <w:rPr>
          <w:rFonts w:eastAsia="宋体"/>
          <w:lang w:eastAsia="zh-CN"/>
        </w:rPr>
        <w:t xml:space="preserve"> IAB-MT differentiates the DL traffic to which of the two different logical DUs. Some options based on BAP addresses allocated by different CUs or based on the IP address of different CUs can be considered.</w:t>
      </w:r>
    </w:p>
    <w:p w14:paraId="244353F4" w14:textId="77FEF3A1" w:rsidR="004B55B7" w:rsidRPr="004B55B7" w:rsidRDefault="004B55B7" w:rsidP="004B55B7">
      <w:pPr>
        <w:rPr>
          <w:rFonts w:eastAsia="宋体"/>
          <w:lang w:eastAsia="zh-CN"/>
        </w:rPr>
      </w:pPr>
      <w:r w:rsidRPr="004B55B7">
        <w:rPr>
          <w:rFonts w:eastAsia="宋体"/>
          <w:lang w:eastAsia="zh-CN"/>
        </w:rPr>
        <w:t>Based on the above analysis, it is proposed following for further RAN2 discussion as open issues.</w:t>
      </w:r>
      <w:r w:rsidR="009C4712">
        <w:rPr>
          <w:rFonts w:eastAsia="宋体"/>
          <w:lang w:eastAsia="zh-CN"/>
        </w:rPr>
        <w:t xml:space="preserve"> Note RAN2 can start the discussion with the understanding that RAN3 agree to support the DU migration.</w:t>
      </w:r>
    </w:p>
    <w:p w14:paraId="0A97546E" w14:textId="570F1348" w:rsidR="002063BE" w:rsidRDefault="008C7439" w:rsidP="002063BE">
      <w:pPr>
        <w:rPr>
          <w:b/>
        </w:rPr>
      </w:pPr>
      <w:r>
        <w:rPr>
          <w:b/>
        </w:rPr>
        <w:t>Proposal 1</w:t>
      </w:r>
      <w:r w:rsidR="004B55B7" w:rsidRPr="004B55B7">
        <w:rPr>
          <w:b/>
        </w:rPr>
        <w:t>: RAN2 to discuss the BAP impacts by using the two logical DUs in full</w:t>
      </w:r>
      <w:r w:rsidR="004E61B7">
        <w:rPr>
          <w:b/>
        </w:rPr>
        <w:t>/DU</w:t>
      </w:r>
      <w:r w:rsidR="004B55B7" w:rsidRPr="004B55B7">
        <w:rPr>
          <w:b/>
        </w:rPr>
        <w:t xml:space="preserve"> migration</w:t>
      </w:r>
      <w:r w:rsidR="003F25CD">
        <w:rPr>
          <w:b/>
        </w:rPr>
        <w:t xml:space="preserve"> of mobile IAB</w:t>
      </w:r>
      <w:r w:rsidR="004B55B7" w:rsidRPr="004B55B7">
        <w:rPr>
          <w:b/>
        </w:rPr>
        <w:t>:</w:t>
      </w:r>
    </w:p>
    <w:p w14:paraId="3D55EC2E" w14:textId="7F568767" w:rsidR="002063BE" w:rsidRPr="002063BE" w:rsidRDefault="004B55B7" w:rsidP="005B4A14">
      <w:pPr>
        <w:pStyle w:val="af9"/>
        <w:numPr>
          <w:ilvl w:val="0"/>
          <w:numId w:val="25"/>
        </w:numPr>
        <w:ind w:firstLineChars="0"/>
        <w:rPr>
          <w:b/>
        </w:rPr>
      </w:pPr>
      <w:r w:rsidRPr="002063BE">
        <w:rPr>
          <w:b/>
        </w:rPr>
        <w:t xml:space="preserve">Whether the two logical DUs share the same </w:t>
      </w:r>
      <w:r w:rsidR="003F25CD">
        <w:rPr>
          <w:b/>
        </w:rPr>
        <w:t>“</w:t>
      </w:r>
      <w:r w:rsidRPr="002063BE">
        <w:rPr>
          <w:b/>
        </w:rPr>
        <w:t xml:space="preserve">BAP configuration </w:t>
      </w:r>
      <w:r w:rsidR="003F25CD">
        <w:rPr>
          <w:b/>
        </w:rPr>
        <w:t>of</w:t>
      </w:r>
      <w:r w:rsidR="003F25CD" w:rsidRPr="002063BE">
        <w:rPr>
          <w:b/>
        </w:rPr>
        <w:t xml:space="preserve"> </w:t>
      </w:r>
      <w:r w:rsidRPr="002063BE">
        <w:rPr>
          <w:b/>
        </w:rPr>
        <w:t>IAB-MT side</w:t>
      </w:r>
      <w:r w:rsidR="003F25CD">
        <w:rPr>
          <w:b/>
        </w:rPr>
        <w:t>”</w:t>
      </w:r>
      <w:r w:rsidRPr="002063BE">
        <w:rPr>
          <w:b/>
        </w:rPr>
        <w:t xml:space="preserve">, including the RRC configured and F1AP configured BAP configuration;  </w:t>
      </w:r>
    </w:p>
    <w:p w14:paraId="05F22263" w14:textId="4F88669F" w:rsidR="00370856" w:rsidRPr="002063BE" w:rsidRDefault="004B55B7" w:rsidP="003F25CD">
      <w:pPr>
        <w:pStyle w:val="af9"/>
        <w:numPr>
          <w:ilvl w:val="0"/>
          <w:numId w:val="25"/>
        </w:numPr>
        <w:ind w:firstLineChars="0"/>
        <w:rPr>
          <w:b/>
        </w:rPr>
      </w:pPr>
      <w:r w:rsidRPr="002063BE">
        <w:rPr>
          <w:b/>
        </w:rPr>
        <w:t xml:space="preserve">How the mobile IAB-MT </w:t>
      </w:r>
      <w:r w:rsidR="00B22B70">
        <w:rPr>
          <w:b/>
        </w:rPr>
        <w:t>determine</w:t>
      </w:r>
      <w:r w:rsidR="004D39E5">
        <w:rPr>
          <w:b/>
        </w:rPr>
        <w:t>s</w:t>
      </w:r>
      <w:r w:rsidR="00B22B70">
        <w:rPr>
          <w:b/>
        </w:rPr>
        <w:t xml:space="preserve"> the destination of</w:t>
      </w:r>
      <w:r w:rsidR="00B22B70" w:rsidRPr="002063BE">
        <w:rPr>
          <w:b/>
        </w:rPr>
        <w:t xml:space="preserve"> </w:t>
      </w:r>
      <w:r w:rsidR="00B22B70">
        <w:rPr>
          <w:b/>
        </w:rPr>
        <w:t>a</w:t>
      </w:r>
      <w:r w:rsidR="00B22B70" w:rsidRPr="002063BE">
        <w:rPr>
          <w:b/>
        </w:rPr>
        <w:t xml:space="preserve"> </w:t>
      </w:r>
      <w:r w:rsidRPr="002063BE">
        <w:rPr>
          <w:b/>
        </w:rPr>
        <w:t>DL BAP data to the corresponding logical DU</w:t>
      </w:r>
      <w:r w:rsidR="0008769D">
        <w:rPr>
          <w:b/>
        </w:rPr>
        <w:t xml:space="preserve"> (e.g.</w:t>
      </w:r>
      <w:r w:rsidR="00346DD1">
        <w:rPr>
          <w:b/>
        </w:rPr>
        <w:t>,</w:t>
      </w:r>
      <w:r w:rsidR="0008769D">
        <w:rPr>
          <w:b/>
        </w:rPr>
        <w:t xml:space="preserve"> via BAP address or IP address etc.)</w:t>
      </w:r>
      <w:r w:rsidRPr="002063BE">
        <w:rPr>
          <w:b/>
        </w:rPr>
        <w:t>;</w:t>
      </w:r>
    </w:p>
    <w:p w14:paraId="35A6B661" w14:textId="038D6763" w:rsidR="008C3CB9" w:rsidRPr="00370856" w:rsidRDefault="008C3CB9" w:rsidP="008C3CB9">
      <w:pPr>
        <w:pStyle w:val="21"/>
        <w:rPr>
          <w:rFonts w:ascii="Times New Roman" w:eastAsia="宋体" w:hAnsi="Times New Roman"/>
          <w:lang w:eastAsia="zh-CN"/>
        </w:rPr>
      </w:pPr>
      <w:bookmarkStart w:id="2" w:name="_GoBack"/>
      <w:bookmarkEnd w:id="2"/>
      <w:r w:rsidRPr="00370856">
        <w:rPr>
          <w:rFonts w:ascii="Times New Roman" w:eastAsia="宋体" w:hAnsi="Times New Roman"/>
          <w:lang w:eastAsia="zh-CN"/>
        </w:rPr>
        <w:lastRenderedPageBreak/>
        <w:t xml:space="preserve">2.2 </w:t>
      </w:r>
      <w:r w:rsidR="00370856">
        <w:rPr>
          <w:rFonts w:ascii="Times New Roman" w:eastAsiaTheme="minorEastAsia" w:hAnsi="Times New Roman"/>
          <w:sz w:val="28"/>
          <w:szCs w:val="28"/>
          <w:lang w:eastAsia="zh-CN"/>
        </w:rPr>
        <w:t>PCI collision</w:t>
      </w:r>
      <w:r w:rsidRPr="00370856">
        <w:rPr>
          <w:rFonts w:ascii="Times New Roman" w:eastAsia="宋体" w:hAnsi="Times New Roman"/>
          <w:lang w:eastAsia="zh-CN"/>
        </w:rPr>
        <w:t xml:space="preserve"> </w:t>
      </w:r>
    </w:p>
    <w:p w14:paraId="44E07D08" w14:textId="651B5859" w:rsidR="004F16C1" w:rsidRPr="00375BFF" w:rsidRDefault="004F16C1" w:rsidP="004F16C1">
      <w:r w:rsidRPr="00375BFF">
        <w:t xml:space="preserve">The following ANR function mentioned in TS 38.300 </w:t>
      </w:r>
      <w:r w:rsidR="001555BD">
        <w:fldChar w:fldCharType="begin"/>
      </w:r>
      <w:r w:rsidR="001555BD">
        <w:instrText xml:space="preserve"> REF _Ref114854755 \r \h </w:instrText>
      </w:r>
      <w:r w:rsidR="001555BD">
        <w:fldChar w:fldCharType="separate"/>
      </w:r>
      <w:r w:rsidR="001555BD">
        <w:t>[2]</w:t>
      </w:r>
      <w:r w:rsidR="001555BD">
        <w:fldChar w:fldCharType="end"/>
      </w:r>
      <w:r w:rsidRPr="00375BFF">
        <w:t xml:space="preserve"> can</w:t>
      </w:r>
      <w:r w:rsidR="001555BD">
        <w:t xml:space="preserve"> be applied to PCI collision prediction and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F16C1" w:rsidRPr="00375BFF" w14:paraId="61513DA3" w14:textId="77777777" w:rsidTr="00745CC1">
        <w:tc>
          <w:tcPr>
            <w:tcW w:w="9855" w:type="dxa"/>
            <w:shd w:val="clear" w:color="auto" w:fill="auto"/>
          </w:tcPr>
          <w:p w14:paraId="73297D3C" w14:textId="77777777" w:rsidR="004F16C1" w:rsidRPr="00375BFF" w:rsidRDefault="004F16C1" w:rsidP="00745CC1">
            <w:pPr>
              <w:rPr>
                <w:lang w:eastAsia="ja-JP"/>
              </w:rPr>
            </w:pPr>
            <w:r w:rsidRPr="00375BFF">
              <w:rPr>
                <w:lang w:eastAsia="ja-JP"/>
              </w:rPr>
              <w:t xml:space="preserve">The ANR function resides in the gNB and manages the Neighbour Cell Relation Table (NCRT). Located within ANR, the </w:t>
            </w:r>
            <w:r w:rsidRPr="00375BFF">
              <w:rPr>
                <w:highlight w:val="yellow"/>
                <w:lang w:eastAsia="ja-JP"/>
              </w:rPr>
              <w:t>Neighbour Detection Function finds new neighbours and adds them to the NCRT</w:t>
            </w:r>
            <w:r w:rsidRPr="00375BFF">
              <w:rPr>
                <w:lang w:eastAsia="ja-JP"/>
              </w:rPr>
              <w:t>. ANR also contains the Neighbour Removal Function which removes outdated NCRs. The Neighbour Detection Function and the Neighbour Removal Function are implementation specific.</w:t>
            </w:r>
          </w:p>
          <w:p w14:paraId="19B66521" w14:textId="77777777" w:rsidR="004F16C1" w:rsidRPr="00375BFF" w:rsidRDefault="004F16C1" w:rsidP="00745CC1">
            <w:pPr>
              <w:rPr>
                <w:lang w:eastAsia="ja-JP"/>
              </w:rPr>
            </w:pPr>
            <w:r w:rsidRPr="00375BFF">
              <w:rPr>
                <w:lang w:eastAsia="ja-JP"/>
              </w:rPr>
              <w:t>An existing NCR from a source cell to a target cell means that gNB controlling the source cell:</w:t>
            </w:r>
          </w:p>
          <w:p w14:paraId="0552600F" w14:textId="77777777" w:rsidR="004F16C1" w:rsidRPr="00375BFF" w:rsidRDefault="004F16C1" w:rsidP="00745CC1">
            <w:pPr>
              <w:ind w:left="568" w:hanging="284"/>
              <w:rPr>
                <w:lang w:eastAsia="ja-JP"/>
              </w:rPr>
            </w:pPr>
            <w:r w:rsidRPr="00375BFF">
              <w:rPr>
                <w:lang w:eastAsia="ja-JP"/>
              </w:rPr>
              <w:t>a)</w:t>
            </w:r>
            <w:r w:rsidRPr="00375BFF">
              <w:rPr>
                <w:lang w:eastAsia="ja-JP"/>
              </w:rPr>
              <w:tab/>
            </w:r>
            <w:r w:rsidRPr="00375BFF">
              <w:rPr>
                <w:highlight w:val="yellow"/>
                <w:lang w:eastAsia="ja-JP"/>
              </w:rPr>
              <w:t>Knows the global and physical IDs (e.g. NR CGI/NR PCI, ECGI/PCI) of the target cell</w:t>
            </w:r>
            <w:r w:rsidRPr="00375BFF">
              <w:rPr>
                <w:lang w:eastAsia="ja-JP"/>
              </w:rPr>
              <w:t>.</w:t>
            </w:r>
          </w:p>
          <w:p w14:paraId="443BD459" w14:textId="77777777" w:rsidR="004F16C1" w:rsidRPr="00375BFF" w:rsidRDefault="004F16C1" w:rsidP="00745CC1">
            <w:pPr>
              <w:ind w:left="568" w:hanging="284"/>
              <w:rPr>
                <w:lang w:eastAsia="ja-JP"/>
              </w:rPr>
            </w:pPr>
            <w:r w:rsidRPr="00375BFF">
              <w:rPr>
                <w:lang w:eastAsia="ja-JP"/>
              </w:rPr>
              <w:t>b)</w:t>
            </w:r>
            <w:r w:rsidRPr="00375BFF">
              <w:rPr>
                <w:lang w:eastAsia="ja-JP"/>
              </w:rPr>
              <w:tab/>
              <w:t>Has an entry in the NCRT for the source cell identifying the target cell.</w:t>
            </w:r>
          </w:p>
          <w:p w14:paraId="464E3D50" w14:textId="77777777" w:rsidR="004F16C1" w:rsidRPr="00375BFF" w:rsidRDefault="004F16C1" w:rsidP="00745CC1">
            <w:pPr>
              <w:ind w:left="568" w:hanging="284"/>
              <w:rPr>
                <w:lang w:eastAsia="ja-JP"/>
              </w:rPr>
            </w:pPr>
            <w:r w:rsidRPr="00375BFF">
              <w:rPr>
                <w:lang w:eastAsia="ja-JP"/>
              </w:rPr>
              <w:t>c)</w:t>
            </w:r>
            <w:r w:rsidRPr="00375BFF">
              <w:rPr>
                <w:lang w:eastAsia="ja-JP"/>
              </w:rPr>
              <w:tab/>
              <w:t>Has the attributes in this NCRT entry defined, either by OAM or set to default values.</w:t>
            </w:r>
          </w:p>
          <w:p w14:paraId="4292FDE1" w14:textId="77777777" w:rsidR="004F16C1" w:rsidRPr="00375BFF" w:rsidRDefault="004F16C1" w:rsidP="00745CC1">
            <w:pPr>
              <w:rPr>
                <w:lang w:eastAsia="ja-JP"/>
              </w:rPr>
            </w:pPr>
            <w:r w:rsidRPr="00375BFF">
              <w:rPr>
                <w:lang w:eastAsia="ja-JP"/>
              </w:rPr>
              <w:t>NCRs are cell-to-cell relations, while an Xn link is set up between two gNBs. Neighbour Cell Relations are unidirectional, while an Xn link is bidirectional.</w:t>
            </w:r>
          </w:p>
          <w:p w14:paraId="1C227616" w14:textId="77777777" w:rsidR="004F16C1" w:rsidRPr="00375BFF" w:rsidRDefault="004F16C1" w:rsidP="00745CC1">
            <w:pPr>
              <w:keepLines/>
              <w:ind w:left="1135" w:hanging="851"/>
              <w:rPr>
                <w:lang w:eastAsia="ja-JP"/>
              </w:rPr>
            </w:pPr>
            <w:r w:rsidRPr="00375BFF">
              <w:rPr>
                <w:lang w:eastAsia="ja-JP"/>
              </w:rPr>
              <w:t>NOTE:</w:t>
            </w:r>
            <w:r w:rsidRPr="00375BFF">
              <w:rPr>
                <w:lang w:eastAsia="ja-JP"/>
              </w:rPr>
              <w:tab/>
              <w:t>The neighbour information exchange, which occurs during the Xn Setup procedure or in the gNB Configuration Update procedure, may be used for ANR purpose.</w:t>
            </w:r>
          </w:p>
          <w:p w14:paraId="7118D932" w14:textId="77777777" w:rsidR="004F16C1" w:rsidRPr="00375BFF" w:rsidRDefault="004F16C1" w:rsidP="00745CC1">
            <w:pPr>
              <w:rPr>
                <w:rFonts w:eastAsia="Wingdings"/>
                <w:lang w:eastAsia="ja-JP"/>
              </w:rPr>
            </w:pPr>
            <w:r w:rsidRPr="00375BFF">
              <w:rPr>
                <w:lang w:eastAsia="ja-JP"/>
              </w:rPr>
              <w:t>The ANR function also allows OAM to manage the NCRT. OAM can add and delete NCRs. It can also change the attributes of the NCRT. The OAM system is informed about changes in the NCRT.</w:t>
            </w:r>
          </w:p>
        </w:tc>
      </w:tr>
    </w:tbl>
    <w:p w14:paraId="04B67467" w14:textId="77777777" w:rsidR="004F16C1" w:rsidRPr="00375BFF" w:rsidRDefault="004F16C1" w:rsidP="004F16C1"/>
    <w:p w14:paraId="669C5341" w14:textId="59181BC6" w:rsidR="004F16C1" w:rsidRPr="00375BFF" w:rsidRDefault="004F16C1" w:rsidP="004F16C1">
      <w:r w:rsidRPr="00375BFF">
        <w:t>When a possible PCI conflict is detected, the gNB may update the PCI based on the maintained NCRT. However, things may be different in the mobile IAB cell scenario where IAB cells may appear and disappear from the neighbourhood very frequently. The ANR function thus requires frequent NCRT updates, resulting in network maintenance overheads. Since the neighbouring cell info is obtained from the UE measurement report, one possible method to relieve the overhead may be that the UE indicates that the neighbouring cell is a mobile IAB cell (so that NW can omit the mobile IAB cell or do some specific handling for the NCRT update), or UE simply skips reporting the mobile IAB cell.</w:t>
      </w:r>
    </w:p>
    <w:p w14:paraId="1BC5116E" w14:textId="77777777" w:rsidR="002063BE" w:rsidRPr="00375BFF" w:rsidRDefault="002063BE" w:rsidP="002063BE">
      <w:r w:rsidRPr="00375BFF">
        <w:t>Therefore, it is proposed,</w:t>
      </w:r>
    </w:p>
    <w:p w14:paraId="6D506AAE" w14:textId="77777777" w:rsidR="001B7FC5" w:rsidRPr="00375BFF" w:rsidRDefault="001B7FC5" w:rsidP="001B7FC5">
      <w:pPr>
        <w:rPr>
          <w:b/>
        </w:rPr>
      </w:pPr>
      <w:r w:rsidRPr="00375BFF">
        <w:rPr>
          <w:b/>
        </w:rPr>
        <w:t>Proposal 2: In ANR feature, RAN2 to discuss the following handlings</w:t>
      </w:r>
      <w:r>
        <w:rPr>
          <w:b/>
        </w:rPr>
        <w:t xml:space="preserve"> to avoid frequent </w:t>
      </w:r>
      <w:r w:rsidRPr="001B2197">
        <w:rPr>
          <w:b/>
        </w:rPr>
        <w:t>NCRT update</w:t>
      </w:r>
      <w:r w:rsidRPr="00375BFF">
        <w:rPr>
          <w:b/>
        </w:rPr>
        <w:t>, considering that the mobile IAB cell may appear or disappear from the neighbour very frequently:</w:t>
      </w:r>
    </w:p>
    <w:p w14:paraId="41198BBF" w14:textId="77777777" w:rsidR="001B7FC5" w:rsidRPr="00F831F8" w:rsidRDefault="001B7FC5" w:rsidP="001B7FC5">
      <w:pPr>
        <w:pStyle w:val="af9"/>
        <w:numPr>
          <w:ilvl w:val="0"/>
          <w:numId w:val="26"/>
        </w:numPr>
        <w:ind w:firstLineChars="0"/>
        <w:rPr>
          <w:b/>
        </w:rPr>
      </w:pPr>
      <w:r w:rsidRPr="00F831F8">
        <w:rPr>
          <w:b/>
        </w:rPr>
        <w:t>UE indicate</w:t>
      </w:r>
      <w:r>
        <w:rPr>
          <w:b/>
        </w:rPr>
        <w:t>s</w:t>
      </w:r>
      <w:r w:rsidRPr="00F831F8">
        <w:rPr>
          <w:b/>
        </w:rPr>
        <w:t xml:space="preserve"> whether a neighbour cell is</w:t>
      </w:r>
      <w:r>
        <w:rPr>
          <w:b/>
        </w:rPr>
        <w:t xml:space="preserve"> a</w:t>
      </w:r>
      <w:r w:rsidRPr="00F831F8">
        <w:rPr>
          <w:b/>
        </w:rPr>
        <w:t xml:space="preserve"> mobile IAB cell, or</w:t>
      </w:r>
    </w:p>
    <w:p w14:paraId="0C130604" w14:textId="77777777" w:rsidR="001B7FC5" w:rsidRPr="00F831F8" w:rsidRDefault="001B7FC5" w:rsidP="001B7FC5">
      <w:pPr>
        <w:pStyle w:val="af9"/>
        <w:numPr>
          <w:ilvl w:val="0"/>
          <w:numId w:val="26"/>
        </w:numPr>
        <w:ind w:firstLineChars="0"/>
        <w:rPr>
          <w:b/>
        </w:rPr>
      </w:pPr>
      <w:r w:rsidRPr="00F831F8">
        <w:rPr>
          <w:b/>
        </w:rPr>
        <w:t>UE just skip</w:t>
      </w:r>
      <w:r>
        <w:rPr>
          <w:b/>
        </w:rPr>
        <w:t>s</w:t>
      </w:r>
      <w:r w:rsidRPr="00F831F8">
        <w:rPr>
          <w:b/>
        </w:rPr>
        <w:t xml:space="preserve"> reporting the mobile-IAB cell.</w:t>
      </w:r>
    </w:p>
    <w:p w14:paraId="6A31228B" w14:textId="77777777" w:rsidR="00D249A6" w:rsidRPr="00D249A6" w:rsidRDefault="00D249A6" w:rsidP="00D249A6">
      <w:pPr>
        <w:rPr>
          <w:rFonts w:eastAsia="宋体"/>
          <w:lang w:eastAsia="zh-CN"/>
        </w:rPr>
      </w:pPr>
      <w:r w:rsidRPr="00D249A6">
        <w:rPr>
          <w:rFonts w:eastAsia="宋体"/>
          <w:lang w:eastAsia="zh-CN"/>
        </w:rPr>
        <w:t>Furthermore, the legacy ANR solution or inter-CU coordination may not be sufficient for PCI conflict management in the mobile IAB scenario, even though they handle the stationary deployment well. Considering a scenario where two different mobile IAB cells with the same PCI meet each other due to mobility, PCI conflicts may not be handled in a timely manner, causing interference to UEs.</w:t>
      </w:r>
    </w:p>
    <w:p w14:paraId="41E58CC5" w14:textId="0268619C" w:rsidR="001F5E96" w:rsidRDefault="001F5E96" w:rsidP="001F5E96">
      <w:pPr>
        <w:rPr>
          <w:b/>
        </w:rPr>
      </w:pPr>
      <w:r w:rsidRPr="00CA6E2C">
        <w:rPr>
          <w:b/>
        </w:rPr>
        <w:t>Observation</w:t>
      </w:r>
      <w:r>
        <w:rPr>
          <w:b/>
        </w:rPr>
        <w:t xml:space="preserve"> </w:t>
      </w:r>
      <w:r w:rsidR="005B09F9">
        <w:rPr>
          <w:b/>
        </w:rPr>
        <w:t>1</w:t>
      </w:r>
      <w:r w:rsidRPr="00CA6E2C">
        <w:rPr>
          <w:b/>
        </w:rPr>
        <w:t>: The legacy A</w:t>
      </w:r>
      <w:r>
        <w:rPr>
          <w:b/>
        </w:rPr>
        <w:t xml:space="preserve">NR solution/CU coordination may not be sufficient/timely when </w:t>
      </w:r>
      <w:r w:rsidRPr="00CA6E2C">
        <w:rPr>
          <w:b/>
        </w:rPr>
        <w:t>two mobile IAB nodes move into the same area</w:t>
      </w:r>
      <w:r>
        <w:rPr>
          <w:b/>
        </w:rPr>
        <w:t xml:space="preserve"> fast</w:t>
      </w:r>
      <w:r w:rsidRPr="00CA6E2C">
        <w:rPr>
          <w:b/>
        </w:rPr>
        <w:t xml:space="preserve">, which may result in PCI </w:t>
      </w:r>
      <w:r>
        <w:rPr>
          <w:b/>
        </w:rPr>
        <w:t>collision</w:t>
      </w:r>
      <w:r w:rsidRPr="00CA6E2C">
        <w:rPr>
          <w:b/>
        </w:rPr>
        <w:t xml:space="preserve"> between the two mobile IAB nodes.</w:t>
      </w:r>
    </w:p>
    <w:p w14:paraId="1E562E12" w14:textId="77777777" w:rsidR="001F5E96" w:rsidRDefault="001F5E96" w:rsidP="001F5E96">
      <w:r w:rsidRPr="00FA2A7A">
        <w:rPr>
          <w:rFonts w:hint="eastAsia"/>
        </w:rPr>
        <w:t>I</w:t>
      </w:r>
      <w:r w:rsidRPr="00FA2A7A">
        <w:t xml:space="preserve">n this case, </w:t>
      </w:r>
      <w:r>
        <w:t xml:space="preserve">early PCI conflict detection methods, e.g., by IAB-MT/UE, may require further discussions. </w:t>
      </w:r>
      <w:r>
        <w:rPr>
          <w:rFonts w:hint="eastAsia"/>
        </w:rPr>
        <w:t>I</w:t>
      </w:r>
      <w:r>
        <w:t xml:space="preserve">n addition, we observe: </w:t>
      </w:r>
    </w:p>
    <w:p w14:paraId="6B322D79" w14:textId="249751E7" w:rsidR="001F5E96" w:rsidRPr="00414948" w:rsidRDefault="001F5E96" w:rsidP="001F5E96">
      <w:pPr>
        <w:rPr>
          <w:b/>
        </w:rPr>
      </w:pPr>
      <w:r w:rsidRPr="00A759BA">
        <w:rPr>
          <w:b/>
        </w:rPr>
        <w:t xml:space="preserve">Observation </w:t>
      </w:r>
      <w:r w:rsidR="005B09F9">
        <w:rPr>
          <w:b/>
        </w:rPr>
        <w:t>2</w:t>
      </w:r>
      <w:r w:rsidRPr="00414948">
        <w:rPr>
          <w:b/>
        </w:rPr>
        <w:t xml:space="preserve">: UE may not be able to detect the PCI collision, </w:t>
      </w:r>
      <w:r>
        <w:rPr>
          <w:b/>
        </w:rPr>
        <w:t>in case of</w:t>
      </w:r>
      <w:r w:rsidRPr="00414948">
        <w:rPr>
          <w:b/>
        </w:rPr>
        <w:t xml:space="preserve"> two intra-frequency cells with </w:t>
      </w:r>
      <w:r>
        <w:rPr>
          <w:b/>
        </w:rPr>
        <w:t xml:space="preserve">the </w:t>
      </w:r>
      <w:r w:rsidRPr="00414948">
        <w:rPr>
          <w:b/>
        </w:rPr>
        <w:t>same PCI (e.g.</w:t>
      </w:r>
      <w:r>
        <w:rPr>
          <w:b/>
        </w:rPr>
        <w:t>,</w:t>
      </w:r>
      <w:r w:rsidRPr="00414948">
        <w:rPr>
          <w:b/>
        </w:rPr>
        <w:t xml:space="preserve"> not being able to decode the MIB</w:t>
      </w:r>
      <w:r>
        <w:rPr>
          <w:b/>
        </w:rPr>
        <w:t xml:space="preserve"> due to interference</w:t>
      </w:r>
      <w:r w:rsidRPr="00414948">
        <w:rPr>
          <w:b/>
        </w:rPr>
        <w:t>).</w:t>
      </w:r>
    </w:p>
    <w:p w14:paraId="0CF286F0" w14:textId="77777777" w:rsidR="00D249A6" w:rsidRPr="00375BFF" w:rsidRDefault="00D249A6" w:rsidP="00D249A6">
      <w:pPr>
        <w:rPr>
          <w:b/>
        </w:rPr>
      </w:pPr>
      <w:r w:rsidRPr="00375BFF">
        <w:rPr>
          <w:b/>
        </w:rPr>
        <w:t>Proposal 3: RAN2 to discuss whether to support the solution of PCI collision detection by IAB-MT.</w:t>
      </w:r>
    </w:p>
    <w:p w14:paraId="62C3E84D" w14:textId="29E39771" w:rsidR="00370856" w:rsidRPr="00423818" w:rsidRDefault="00423818" w:rsidP="00EC7F42">
      <w:pPr>
        <w:rPr>
          <w:rFonts w:eastAsia="宋体"/>
          <w:lang w:eastAsia="zh-CN"/>
        </w:rPr>
      </w:pPr>
      <w:r w:rsidRPr="00423818">
        <w:rPr>
          <w:rFonts w:eastAsia="宋体"/>
          <w:lang w:eastAsia="zh-CN"/>
        </w:rPr>
        <w:t>Besides, according to the last RAN3 agreements</w:t>
      </w:r>
      <w:r>
        <w:rPr>
          <w:rFonts w:eastAsia="宋体"/>
          <w:lang w:eastAsia="zh-CN"/>
        </w:rPr>
        <w:t xml:space="preserve"> </w:t>
      </w:r>
      <w:r>
        <w:rPr>
          <w:rFonts w:eastAsia="宋体"/>
          <w:lang w:eastAsia="zh-CN"/>
        </w:rPr>
        <w:fldChar w:fldCharType="begin"/>
      </w:r>
      <w:r>
        <w:rPr>
          <w:rFonts w:eastAsia="宋体"/>
          <w:lang w:eastAsia="zh-CN"/>
        </w:rPr>
        <w:instrText xml:space="preserve"> REF _Ref117590375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sidRPr="00423818">
        <w:rPr>
          <w:rFonts w:eastAsia="宋体"/>
          <w:lang w:eastAsia="zh-CN"/>
        </w:rPr>
        <w:t>,</w:t>
      </w:r>
      <w:r w:rsidR="0018685D">
        <w:rPr>
          <w:rFonts w:eastAsia="宋体"/>
          <w:lang w:eastAsia="zh-CN"/>
        </w:rPr>
        <w:t xml:space="preserve"> RAN2 can have the same assumption on handling UE in case of PCI update.</w:t>
      </w:r>
    </w:p>
    <w:p w14:paraId="294756BD" w14:textId="77777777" w:rsidR="00423818" w:rsidRPr="00423818" w:rsidRDefault="00423818" w:rsidP="005B4A14">
      <w:pPr>
        <w:pStyle w:val="af9"/>
        <w:numPr>
          <w:ilvl w:val="0"/>
          <w:numId w:val="24"/>
        </w:numPr>
        <w:ind w:firstLineChars="0"/>
        <w:rPr>
          <w:rFonts w:eastAsia="Symbol"/>
          <w:i/>
        </w:rPr>
      </w:pPr>
      <w:r w:rsidRPr="00423818">
        <w:rPr>
          <w:rFonts w:eastAsia="Symbol"/>
          <w:i/>
        </w:rPr>
        <w:t>PCI-change on the IAB-node can be supported via handover of connected UEs between cells using old and new PCI, respectively.</w:t>
      </w:r>
    </w:p>
    <w:p w14:paraId="10B3B9AD" w14:textId="2F6AC79B" w:rsidR="00370856" w:rsidRDefault="00423818" w:rsidP="00EC7F42">
      <w:pPr>
        <w:rPr>
          <w:rFonts w:eastAsia="宋体"/>
          <w:b/>
          <w:lang w:eastAsia="zh-CN"/>
        </w:rPr>
      </w:pPr>
      <w:r w:rsidRPr="00423818">
        <w:rPr>
          <w:rFonts w:eastAsia="宋体"/>
          <w:b/>
          <w:lang w:eastAsia="zh-CN"/>
        </w:rPr>
        <w:lastRenderedPageBreak/>
        <w:t xml:space="preserve">Observation </w:t>
      </w:r>
      <w:r w:rsidR="00DD3A54">
        <w:rPr>
          <w:rFonts w:eastAsia="宋体"/>
          <w:b/>
          <w:lang w:eastAsia="zh-CN"/>
        </w:rPr>
        <w:t>3</w:t>
      </w:r>
      <w:r w:rsidRPr="00423818">
        <w:rPr>
          <w:rFonts w:eastAsia="宋体"/>
          <w:b/>
          <w:lang w:eastAsia="zh-CN"/>
        </w:rPr>
        <w:t>: RAN3 agreed “PCI-change on the IAB-node can be supported via handover of connected UEs between cells using old and new PCI, respectively.”</w:t>
      </w:r>
    </w:p>
    <w:p w14:paraId="51506F03" w14:textId="3E06AC22" w:rsidR="008C3CB9" w:rsidRPr="00370856" w:rsidRDefault="008C3CB9" w:rsidP="008C3CB9">
      <w:pPr>
        <w:pStyle w:val="21"/>
        <w:rPr>
          <w:rFonts w:ascii="Times New Roman" w:eastAsia="宋体" w:hAnsi="Times New Roman"/>
          <w:lang w:eastAsia="zh-CN"/>
        </w:rPr>
      </w:pPr>
      <w:r w:rsidRPr="00370856">
        <w:rPr>
          <w:rFonts w:ascii="Times New Roman" w:eastAsia="宋体" w:hAnsi="Times New Roman"/>
          <w:lang w:eastAsia="zh-CN"/>
        </w:rPr>
        <w:t>2.</w:t>
      </w:r>
      <w:r w:rsidR="00370856">
        <w:rPr>
          <w:rFonts w:ascii="Times New Roman" w:eastAsia="宋体" w:hAnsi="Times New Roman"/>
          <w:lang w:eastAsia="zh-CN"/>
        </w:rPr>
        <w:t>3</w:t>
      </w:r>
      <w:r w:rsidRPr="00370856">
        <w:rPr>
          <w:rFonts w:ascii="Times New Roman" w:eastAsia="宋体" w:hAnsi="Times New Roman"/>
          <w:lang w:eastAsia="zh-CN"/>
        </w:rPr>
        <w:t xml:space="preserve"> TAC/RANAC issues </w:t>
      </w:r>
    </w:p>
    <w:p w14:paraId="544CC1DF" w14:textId="0E7362D7" w:rsidR="00AD1B0C" w:rsidRPr="00370856" w:rsidRDefault="00344B82" w:rsidP="00344B82">
      <w:pPr>
        <w:pStyle w:val="27"/>
        <w:rPr>
          <w:rFonts w:ascii="Times New Roman" w:eastAsiaTheme="minorEastAsia" w:hAnsi="Times New Roman"/>
          <w:sz w:val="28"/>
          <w:szCs w:val="28"/>
          <w:lang w:eastAsia="zh-CN"/>
        </w:rPr>
      </w:pPr>
      <w:r w:rsidRPr="00370856">
        <w:rPr>
          <w:rFonts w:ascii="Times New Roman" w:eastAsiaTheme="minorEastAsia" w:hAnsi="Times New Roman"/>
          <w:sz w:val="28"/>
          <w:szCs w:val="28"/>
          <w:lang w:eastAsia="zh-CN"/>
        </w:rPr>
        <w:t>2.</w:t>
      </w:r>
      <w:r w:rsidR="00370856">
        <w:rPr>
          <w:rFonts w:ascii="Times New Roman" w:eastAsiaTheme="minorEastAsia" w:hAnsi="Times New Roman"/>
          <w:sz w:val="28"/>
          <w:szCs w:val="28"/>
          <w:lang w:eastAsia="zh-CN"/>
        </w:rPr>
        <w:t>3</w:t>
      </w:r>
      <w:r w:rsidRPr="00370856">
        <w:rPr>
          <w:rFonts w:ascii="Times New Roman" w:eastAsiaTheme="minorEastAsia" w:hAnsi="Times New Roman"/>
          <w:sz w:val="28"/>
          <w:szCs w:val="28"/>
          <w:lang w:eastAsia="zh-CN"/>
        </w:rPr>
        <w:t>.1 TAC</w:t>
      </w:r>
    </w:p>
    <w:p w14:paraId="16B59F84" w14:textId="6EB51D4D" w:rsidR="00344B82" w:rsidRPr="00370856" w:rsidRDefault="00344B82" w:rsidP="00344B82">
      <w:r w:rsidRPr="00370856">
        <w:rPr>
          <w:rFonts w:eastAsia="宋体"/>
          <w:lang w:eastAsia="zh-CN"/>
        </w:rPr>
        <w:t>According to the last RAN3 agreement</w:t>
      </w:r>
      <w:r w:rsidR="00684C87">
        <w:rPr>
          <w:rFonts w:eastAsia="宋体"/>
          <w:lang w:eastAsia="zh-CN"/>
        </w:rPr>
        <w:t xml:space="preserve"> </w:t>
      </w:r>
      <w:r w:rsidR="00684C87">
        <w:rPr>
          <w:rFonts w:eastAsia="宋体"/>
          <w:lang w:eastAsia="zh-CN"/>
        </w:rPr>
        <w:fldChar w:fldCharType="begin"/>
      </w:r>
      <w:r w:rsidR="00684C87">
        <w:rPr>
          <w:rFonts w:eastAsia="宋体"/>
          <w:lang w:eastAsia="zh-CN"/>
        </w:rPr>
        <w:instrText xml:space="preserve"> REF _Ref117590375 \r \h </w:instrText>
      </w:r>
      <w:r w:rsidR="00684C87">
        <w:rPr>
          <w:rFonts w:eastAsia="宋体"/>
          <w:lang w:eastAsia="zh-CN"/>
        </w:rPr>
      </w:r>
      <w:r w:rsidR="00684C87">
        <w:rPr>
          <w:rFonts w:eastAsia="宋体"/>
          <w:lang w:eastAsia="zh-CN"/>
        </w:rPr>
        <w:fldChar w:fldCharType="separate"/>
      </w:r>
      <w:r w:rsidR="00684C87">
        <w:rPr>
          <w:rFonts w:eastAsia="宋体"/>
          <w:lang w:eastAsia="zh-CN"/>
        </w:rPr>
        <w:t>[3]</w:t>
      </w:r>
      <w:r w:rsidR="00684C87">
        <w:rPr>
          <w:rFonts w:eastAsia="宋体"/>
          <w:lang w:eastAsia="zh-CN"/>
        </w:rPr>
        <w:fldChar w:fldCharType="end"/>
      </w:r>
      <w:r w:rsidRPr="00370856">
        <w:rPr>
          <w:rFonts w:eastAsia="宋体"/>
          <w:lang w:eastAsia="zh-CN"/>
        </w:rPr>
        <w:t>, both static and changeable TAC need further discussion.</w:t>
      </w:r>
      <w:r w:rsidRPr="00370856">
        <w:t xml:space="preserve"> The following discusses the UE and RAN impacts in the case of static</w:t>
      </w:r>
      <w:r w:rsidR="0088489C" w:rsidRPr="00370856">
        <w:t xml:space="preserve"> TAC</w:t>
      </w:r>
      <w:r w:rsidRPr="00370856">
        <w:t xml:space="preserve"> and </w:t>
      </w:r>
      <w:r w:rsidR="0088489C" w:rsidRPr="00370856">
        <w:t>changeable TAC</w:t>
      </w:r>
      <w:r w:rsidRPr="00370856">
        <w:t>.</w:t>
      </w:r>
    </w:p>
    <w:p w14:paraId="1FB67735" w14:textId="278D50B6" w:rsidR="00AD1B0C" w:rsidRPr="00370856" w:rsidRDefault="0088489C" w:rsidP="005B4A14">
      <w:pPr>
        <w:pStyle w:val="af9"/>
        <w:numPr>
          <w:ilvl w:val="0"/>
          <w:numId w:val="18"/>
        </w:numPr>
        <w:spacing w:after="120"/>
        <w:ind w:firstLineChars="0"/>
        <w:rPr>
          <w:rFonts w:eastAsia="宋体"/>
          <w:b/>
          <w:lang w:eastAsia="zh-CN"/>
        </w:rPr>
      </w:pPr>
      <w:r w:rsidRPr="00370856">
        <w:rPr>
          <w:rFonts w:eastAsia="宋体"/>
          <w:b/>
          <w:lang w:eastAsia="zh-CN"/>
        </w:rPr>
        <w:t>Static TAC</w:t>
      </w:r>
    </w:p>
    <w:p w14:paraId="6F5D4F6B" w14:textId="0707A822" w:rsidR="0088489C" w:rsidRPr="00370856" w:rsidRDefault="001A1EE6" w:rsidP="001A1EE6">
      <w:pPr>
        <w:ind w:left="420"/>
        <w:rPr>
          <w:rFonts w:eastAsiaTheme="minorEastAsia"/>
          <w:lang w:eastAsia="zh-CN"/>
        </w:rPr>
      </w:pPr>
      <w:r w:rsidRPr="00370856">
        <w:rPr>
          <w:rFonts w:eastAsiaTheme="minorEastAsia"/>
          <w:lang w:eastAsia="zh-CN"/>
        </w:rPr>
        <w:t>For predictable limited mobility scenarios, static TAC can be achieved by OAM. However, for the more general scenarios, i</w:t>
      </w:r>
      <w:r w:rsidR="0088489C" w:rsidRPr="00370856">
        <w:t xml:space="preserve">f the mobile IAB </w:t>
      </w:r>
      <w:r w:rsidRPr="00370856">
        <w:t>cell</w:t>
      </w:r>
      <w:r w:rsidR="0088489C" w:rsidRPr="00370856">
        <w:t xml:space="preserve"> broadcasts a </w:t>
      </w:r>
      <w:r w:rsidRPr="00370856">
        <w:t>static</w:t>
      </w:r>
      <w:r w:rsidR="0088489C" w:rsidRPr="00370856">
        <w:t xml:space="preserve"> TAC, it means that the </w:t>
      </w:r>
      <w:r w:rsidRPr="00370856">
        <w:t>TAC can no longer</w:t>
      </w:r>
      <w:r w:rsidR="0088489C" w:rsidRPr="00370856">
        <w:t xml:space="preserve"> represent the physical location of the UE. The potential impacts are summarized below,</w:t>
      </w:r>
    </w:p>
    <w:p w14:paraId="69BCBA93" w14:textId="77777777" w:rsidR="0088489C" w:rsidRPr="00370856" w:rsidRDefault="0088489C" w:rsidP="005B4A14">
      <w:pPr>
        <w:numPr>
          <w:ilvl w:val="0"/>
          <w:numId w:val="19"/>
        </w:numPr>
        <w:overflowPunct w:val="0"/>
        <w:autoSpaceDE w:val="0"/>
        <w:autoSpaceDN w:val="0"/>
        <w:adjustRightInd w:val="0"/>
        <w:spacing w:after="120"/>
        <w:textAlignment w:val="baseline"/>
        <w:rPr>
          <w:b/>
        </w:rPr>
      </w:pPr>
      <w:r w:rsidRPr="00370856">
        <w:rPr>
          <w:b/>
        </w:rPr>
        <w:t>UE impacts:</w:t>
      </w:r>
    </w:p>
    <w:p w14:paraId="084E793D" w14:textId="77777777" w:rsidR="0088489C" w:rsidRPr="003570E8" w:rsidRDefault="0088489C" w:rsidP="0088489C">
      <w:pPr>
        <w:ind w:left="840"/>
        <w:rPr>
          <w:b/>
          <w:i/>
        </w:rPr>
      </w:pPr>
      <w:r w:rsidRPr="003570E8">
        <w:rPr>
          <w:b/>
          <w:i/>
        </w:rPr>
        <w:t>On-board UEs:</w:t>
      </w:r>
    </w:p>
    <w:p w14:paraId="458DD8D9" w14:textId="77777777" w:rsidR="0088489C" w:rsidRPr="00370856" w:rsidRDefault="0088489C" w:rsidP="0088489C">
      <w:pPr>
        <w:ind w:left="840"/>
      </w:pPr>
      <w:r w:rsidRPr="00370856">
        <w:t>The UEs will not initiate Mobility Registration Update caused by TA change outside the RA.</w:t>
      </w:r>
    </w:p>
    <w:p w14:paraId="6DC4E5CE" w14:textId="77777777" w:rsidR="0088489C" w:rsidRPr="003570E8" w:rsidRDefault="0088489C" w:rsidP="0088489C">
      <w:pPr>
        <w:ind w:left="840"/>
        <w:rPr>
          <w:b/>
          <w:i/>
        </w:rPr>
      </w:pPr>
      <w:r w:rsidRPr="003570E8">
        <w:rPr>
          <w:b/>
          <w:i/>
        </w:rPr>
        <w:t>Surrounding UEs:</w:t>
      </w:r>
    </w:p>
    <w:p w14:paraId="35B0FC09" w14:textId="77777777" w:rsidR="0088489C" w:rsidRPr="00370856" w:rsidRDefault="0088489C" w:rsidP="0088489C">
      <w:pPr>
        <w:ind w:left="840"/>
      </w:pPr>
      <w:r w:rsidRPr="00370856">
        <w:t>When the IAB node moves to an area where the surrounding UEs camp on macro base stations and the UEs detect a new cell that broadcasts a new TAC, the UEs consider that they move to a new TA outside the RA and will initiate a mobility registration update. When the IAB node continues to move for a long distance, surrounding UEs cannot detect the IAB cell and then camp on cells of macro base stations that broadcast different TACs. The UEs may have to initiate the Mobility Registration Update again.</w:t>
      </w:r>
    </w:p>
    <w:p w14:paraId="61C1A3D5" w14:textId="77777777" w:rsidR="0088489C" w:rsidRPr="00370856" w:rsidRDefault="0088489C" w:rsidP="005B4A14">
      <w:pPr>
        <w:numPr>
          <w:ilvl w:val="0"/>
          <w:numId w:val="19"/>
        </w:numPr>
        <w:overflowPunct w:val="0"/>
        <w:autoSpaceDE w:val="0"/>
        <w:autoSpaceDN w:val="0"/>
        <w:adjustRightInd w:val="0"/>
        <w:spacing w:after="120"/>
        <w:textAlignment w:val="baseline"/>
        <w:rPr>
          <w:b/>
        </w:rPr>
      </w:pPr>
      <w:r w:rsidRPr="00370856">
        <w:rPr>
          <w:b/>
        </w:rPr>
        <w:t>RAN impacts:</w:t>
      </w:r>
    </w:p>
    <w:p w14:paraId="5CB715EB" w14:textId="07F23EF1" w:rsidR="0088489C" w:rsidRPr="00370856" w:rsidRDefault="0088489C" w:rsidP="0088489C">
      <w:pPr>
        <w:ind w:left="840"/>
      </w:pPr>
      <w:r w:rsidRPr="00370856">
        <w:t xml:space="preserve">When the mobile IAB-DU configured with a </w:t>
      </w:r>
      <w:r w:rsidR="001A1EE6" w:rsidRPr="00370856">
        <w:t>static</w:t>
      </w:r>
      <w:r w:rsidRPr="00370856">
        <w:t xml:space="preserve"> TAC performs the F1 setup procedure, the donor gNB shall perform gNB Configuration Update towards 5GC to add the TAI supported by the mobile IAB node into the TA list of donor gNB. Similarly, when the mobile IAB node releases the F1 connection, the donor gNB shall perform gNB Configuration Update towards 5GC to delete the TAC supported by the mobile IAB node from the TA list of donor gNB.</w:t>
      </w:r>
    </w:p>
    <w:p w14:paraId="2944D84D" w14:textId="79901E95" w:rsidR="00146F20" w:rsidRPr="00370856" w:rsidRDefault="00146F20" w:rsidP="005B4A14">
      <w:pPr>
        <w:numPr>
          <w:ilvl w:val="0"/>
          <w:numId w:val="20"/>
        </w:numPr>
        <w:overflowPunct w:val="0"/>
        <w:autoSpaceDE w:val="0"/>
        <w:autoSpaceDN w:val="0"/>
        <w:adjustRightInd w:val="0"/>
        <w:spacing w:after="120"/>
        <w:textAlignment w:val="baseline"/>
        <w:rPr>
          <w:b/>
        </w:rPr>
      </w:pPr>
      <w:r w:rsidRPr="00370856">
        <w:rPr>
          <w:b/>
        </w:rPr>
        <w:t xml:space="preserve">Changeable TAC </w:t>
      </w:r>
    </w:p>
    <w:p w14:paraId="512AB7C5" w14:textId="54E57001" w:rsidR="00146F20" w:rsidRPr="00370856" w:rsidRDefault="00146F20" w:rsidP="00146F20">
      <w:pPr>
        <w:ind w:left="420"/>
      </w:pPr>
      <w:r w:rsidRPr="00370856">
        <w:t>For the mobile IAB cell broadcasting changeable TAC, it means that the TAC is associated with the physical location of the mobile IAB node. The potential impacts are summarized below,</w:t>
      </w:r>
    </w:p>
    <w:p w14:paraId="6ED8EA70" w14:textId="77777777" w:rsidR="00146F20" w:rsidRPr="00370856" w:rsidRDefault="00146F20" w:rsidP="005B4A14">
      <w:pPr>
        <w:numPr>
          <w:ilvl w:val="0"/>
          <w:numId w:val="19"/>
        </w:numPr>
        <w:overflowPunct w:val="0"/>
        <w:autoSpaceDE w:val="0"/>
        <w:autoSpaceDN w:val="0"/>
        <w:adjustRightInd w:val="0"/>
        <w:spacing w:after="120"/>
        <w:textAlignment w:val="baseline"/>
        <w:rPr>
          <w:b/>
        </w:rPr>
      </w:pPr>
      <w:r w:rsidRPr="00370856">
        <w:rPr>
          <w:b/>
        </w:rPr>
        <w:t>UE impacts:</w:t>
      </w:r>
    </w:p>
    <w:p w14:paraId="12A6BDC8" w14:textId="77777777" w:rsidR="00146F20" w:rsidRPr="003570E8" w:rsidRDefault="00146F20" w:rsidP="00146F20">
      <w:pPr>
        <w:ind w:left="840"/>
        <w:rPr>
          <w:b/>
          <w:i/>
        </w:rPr>
      </w:pPr>
      <w:r w:rsidRPr="003570E8">
        <w:rPr>
          <w:b/>
          <w:i/>
        </w:rPr>
        <w:t>On-board UEs:</w:t>
      </w:r>
    </w:p>
    <w:p w14:paraId="21CB5522" w14:textId="77777777" w:rsidR="00146F20" w:rsidRPr="00370856" w:rsidRDefault="00146F20" w:rsidP="00146F20">
      <w:pPr>
        <w:ind w:left="840"/>
      </w:pPr>
      <w:r w:rsidRPr="00370856">
        <w:t>Signalling overhead of Mobility Registration Update initiated by UE when UE detects it is entering a TA that is not in the RA.</w:t>
      </w:r>
    </w:p>
    <w:p w14:paraId="108DCB07" w14:textId="77777777" w:rsidR="00146F20" w:rsidRPr="003570E8" w:rsidRDefault="00146F20" w:rsidP="00146F20">
      <w:pPr>
        <w:ind w:left="840"/>
        <w:rPr>
          <w:b/>
          <w:i/>
        </w:rPr>
      </w:pPr>
      <w:r w:rsidRPr="003570E8">
        <w:rPr>
          <w:b/>
          <w:i/>
        </w:rPr>
        <w:t>Surrounding UEs:</w:t>
      </w:r>
    </w:p>
    <w:p w14:paraId="2AB27E92" w14:textId="77777777" w:rsidR="00146F20" w:rsidRPr="00370856" w:rsidRDefault="00146F20" w:rsidP="00146F20">
      <w:pPr>
        <w:ind w:left="840"/>
      </w:pPr>
      <w:r w:rsidRPr="00370856">
        <w:t xml:space="preserve">If the mobile IAB node broadcasts a TAC related to the actual physical location, the surrounding UEs may not trigger Mobility Registration Update if this TAC is within the RA. </w:t>
      </w:r>
    </w:p>
    <w:p w14:paraId="1CAE7544" w14:textId="77777777" w:rsidR="00146F20" w:rsidRPr="00370856" w:rsidRDefault="00146F20" w:rsidP="005B4A14">
      <w:pPr>
        <w:numPr>
          <w:ilvl w:val="0"/>
          <w:numId w:val="19"/>
        </w:numPr>
        <w:overflowPunct w:val="0"/>
        <w:autoSpaceDE w:val="0"/>
        <w:autoSpaceDN w:val="0"/>
        <w:adjustRightInd w:val="0"/>
        <w:spacing w:after="120"/>
        <w:textAlignment w:val="baseline"/>
        <w:rPr>
          <w:b/>
        </w:rPr>
      </w:pPr>
      <w:r w:rsidRPr="00370856">
        <w:rPr>
          <w:b/>
        </w:rPr>
        <w:t>RAN impacts:</w:t>
      </w:r>
    </w:p>
    <w:p w14:paraId="6BD57D74" w14:textId="26C19A1C" w:rsidR="00146F20" w:rsidRPr="00370856" w:rsidRDefault="00146F20" w:rsidP="00146F20">
      <w:pPr>
        <w:ind w:left="840"/>
      </w:pPr>
      <w:r w:rsidRPr="00370856">
        <w:t>Since TACs are preconfigured by OAM, RAN-based solutions may be required to support TAC updates.</w:t>
      </w:r>
    </w:p>
    <w:p w14:paraId="1E06902F" w14:textId="082BD6CB" w:rsidR="00884C3D" w:rsidRPr="00370856" w:rsidRDefault="007C3947" w:rsidP="0009018C">
      <w:pPr>
        <w:rPr>
          <w:rFonts w:eastAsia="宋体"/>
          <w:lang w:eastAsia="zh-CN"/>
        </w:rPr>
      </w:pPr>
      <w:r w:rsidRPr="00370856">
        <w:rPr>
          <w:rFonts w:eastAsia="宋体"/>
          <w:lang w:eastAsia="zh-CN"/>
        </w:rPr>
        <w:t xml:space="preserve">Given the above analysis, the </w:t>
      </w:r>
      <w:r w:rsidR="00BB5E18" w:rsidRPr="00370856">
        <w:rPr>
          <w:rFonts w:eastAsia="宋体"/>
          <w:lang w:eastAsia="zh-CN"/>
        </w:rPr>
        <w:t xml:space="preserve">impact of the </w:t>
      </w:r>
      <w:r w:rsidRPr="00370856">
        <w:rPr>
          <w:rFonts w:eastAsia="宋体"/>
          <w:lang w:eastAsia="zh-CN"/>
        </w:rPr>
        <w:t>changeable TAC</w:t>
      </w:r>
      <w:r w:rsidR="00BB5E18" w:rsidRPr="00370856">
        <w:rPr>
          <w:rFonts w:eastAsia="宋体"/>
          <w:lang w:eastAsia="zh-CN"/>
        </w:rPr>
        <w:t xml:space="preserve"> on the network is only signalling overhead, which is also necessary for the legacy network configuration update and UE movement.</w:t>
      </w:r>
      <w:r w:rsidR="00F728A2" w:rsidRPr="00370856">
        <w:rPr>
          <w:rFonts w:eastAsia="宋体"/>
          <w:lang w:eastAsia="zh-CN"/>
        </w:rPr>
        <w:t xml:space="preserve"> However, static TACs have a great impact on UE and RAN</w:t>
      </w:r>
      <w:r w:rsidR="00884C3D" w:rsidRPr="00370856">
        <w:rPr>
          <w:rFonts w:eastAsia="宋体"/>
          <w:lang w:eastAsia="zh-CN"/>
        </w:rPr>
        <w:t>.</w:t>
      </w:r>
    </w:p>
    <w:p w14:paraId="243F4BE9" w14:textId="7A447AA0" w:rsidR="008B50BF" w:rsidRPr="00370856" w:rsidRDefault="008B50BF" w:rsidP="008B50BF">
      <w:pPr>
        <w:spacing w:beforeLines="50" w:before="120"/>
        <w:rPr>
          <w:rFonts w:eastAsia="宋体"/>
          <w:b/>
          <w:lang w:eastAsia="zh-CN"/>
        </w:rPr>
      </w:pPr>
      <w:r w:rsidRPr="00370856">
        <w:rPr>
          <w:rFonts w:eastAsia="宋体"/>
          <w:b/>
          <w:lang w:eastAsia="zh-CN"/>
        </w:rPr>
        <w:t xml:space="preserve">Observation </w:t>
      </w:r>
      <w:r w:rsidR="00BC5D84">
        <w:rPr>
          <w:rFonts w:eastAsia="宋体"/>
          <w:b/>
          <w:lang w:eastAsia="zh-CN"/>
        </w:rPr>
        <w:t>4</w:t>
      </w:r>
      <w:r w:rsidRPr="00370856">
        <w:rPr>
          <w:rFonts w:eastAsia="宋体"/>
          <w:b/>
          <w:lang w:eastAsia="zh-CN"/>
        </w:rPr>
        <w:t xml:space="preserve">: </w:t>
      </w:r>
      <w:r w:rsidR="00626A17" w:rsidRPr="00370856">
        <w:rPr>
          <w:rFonts w:eastAsia="宋体"/>
          <w:b/>
          <w:lang w:eastAsia="zh-CN"/>
        </w:rPr>
        <w:t>For predictable limited mobility scenarios, static TAC can be implemented through OAM</w:t>
      </w:r>
      <w:r w:rsidRPr="00370856">
        <w:rPr>
          <w:rFonts w:eastAsia="宋体"/>
          <w:b/>
          <w:lang w:eastAsia="zh-CN"/>
        </w:rPr>
        <w:t>.</w:t>
      </w:r>
    </w:p>
    <w:p w14:paraId="501658A6" w14:textId="064C5D5B" w:rsidR="00884C3D" w:rsidRPr="00370856" w:rsidRDefault="00626A17" w:rsidP="008B50BF">
      <w:pPr>
        <w:spacing w:beforeLines="50" w:before="120"/>
        <w:rPr>
          <w:rFonts w:eastAsia="宋体"/>
          <w:b/>
          <w:lang w:eastAsia="zh-CN"/>
        </w:rPr>
      </w:pPr>
      <w:r w:rsidRPr="00370856">
        <w:rPr>
          <w:rFonts w:eastAsia="宋体"/>
          <w:b/>
          <w:lang w:eastAsia="zh-CN"/>
        </w:rPr>
        <w:lastRenderedPageBreak/>
        <w:t xml:space="preserve">Observation </w:t>
      </w:r>
      <w:r w:rsidR="00BC5D84">
        <w:rPr>
          <w:rFonts w:eastAsia="宋体"/>
          <w:b/>
          <w:lang w:eastAsia="zh-CN"/>
        </w:rPr>
        <w:t>5</w:t>
      </w:r>
      <w:r w:rsidRPr="00370856">
        <w:rPr>
          <w:rFonts w:eastAsia="宋体"/>
          <w:b/>
          <w:lang w:eastAsia="zh-CN"/>
        </w:rPr>
        <w:t>: For general scenarios, static TAC has greater impacts on UE and network compared with changeable TAC.</w:t>
      </w:r>
    </w:p>
    <w:p w14:paraId="74CE4759" w14:textId="7FC9D80F" w:rsidR="00626A17" w:rsidRPr="00370856" w:rsidRDefault="00626A17" w:rsidP="00626A17">
      <w:pPr>
        <w:rPr>
          <w:rFonts w:eastAsia="宋体"/>
          <w:lang w:eastAsia="zh-CN"/>
        </w:rPr>
      </w:pPr>
      <w:r w:rsidRPr="00370856">
        <w:rPr>
          <w:rFonts w:eastAsia="宋体"/>
          <w:lang w:eastAsia="zh-CN"/>
        </w:rPr>
        <w:t>In addition, according to the conclusion for KI #3 in TR 23.700-05</w:t>
      </w:r>
      <w:r w:rsidR="00684C87">
        <w:rPr>
          <w:rFonts w:eastAsia="宋体"/>
          <w:lang w:eastAsia="zh-CN"/>
        </w:rPr>
        <w:t xml:space="preserve"> </w:t>
      </w:r>
      <w:r w:rsidR="00684C87">
        <w:rPr>
          <w:rFonts w:eastAsia="宋体"/>
          <w:lang w:eastAsia="zh-CN"/>
        </w:rPr>
        <w:fldChar w:fldCharType="begin"/>
      </w:r>
      <w:r w:rsidR="00684C87">
        <w:rPr>
          <w:rFonts w:eastAsia="宋体"/>
          <w:lang w:eastAsia="zh-CN"/>
        </w:rPr>
        <w:instrText xml:space="preserve"> REF _Ref117792033 \r \h </w:instrText>
      </w:r>
      <w:r w:rsidR="00684C87">
        <w:rPr>
          <w:rFonts w:eastAsia="宋体"/>
          <w:lang w:eastAsia="zh-CN"/>
        </w:rPr>
      </w:r>
      <w:r w:rsidR="00684C87">
        <w:rPr>
          <w:rFonts w:eastAsia="宋体"/>
          <w:lang w:eastAsia="zh-CN"/>
        </w:rPr>
        <w:fldChar w:fldCharType="separate"/>
      </w:r>
      <w:r w:rsidR="00684C87">
        <w:rPr>
          <w:rFonts w:eastAsia="宋体"/>
          <w:lang w:eastAsia="zh-CN"/>
        </w:rPr>
        <w:t>[4]</w:t>
      </w:r>
      <w:r w:rsidR="00684C87">
        <w:rPr>
          <w:rFonts w:eastAsia="宋体"/>
          <w:lang w:eastAsia="zh-CN"/>
        </w:rPr>
        <w:fldChar w:fldCharType="end"/>
      </w:r>
      <w:r w:rsidRPr="00370856">
        <w:rPr>
          <w:rFonts w:eastAsia="宋体"/>
          <w:lang w:eastAsia="zh-CN"/>
        </w:rPr>
        <w:t xml:space="preserve">, </w:t>
      </w:r>
    </w:p>
    <w:tbl>
      <w:tblPr>
        <w:tblStyle w:val="af4"/>
        <w:tblW w:w="0" w:type="auto"/>
        <w:tblLook w:val="04A0" w:firstRow="1" w:lastRow="0" w:firstColumn="1" w:lastColumn="0" w:noHBand="0" w:noVBand="1"/>
      </w:tblPr>
      <w:tblGrid>
        <w:gridCol w:w="9629"/>
      </w:tblGrid>
      <w:tr w:rsidR="00626A17" w:rsidRPr="00370856" w14:paraId="079F29A6" w14:textId="77777777" w:rsidTr="00626A17">
        <w:tc>
          <w:tcPr>
            <w:tcW w:w="9629" w:type="dxa"/>
          </w:tcPr>
          <w:p w14:paraId="3DEB516A" w14:textId="5ABCD58C" w:rsidR="00626A17" w:rsidRPr="00370856" w:rsidRDefault="00626A17" w:rsidP="00626A17">
            <w:pPr>
              <w:rPr>
                <w:rFonts w:eastAsia="宋体"/>
                <w:i/>
                <w:lang w:eastAsia="zh-CN"/>
              </w:rPr>
            </w:pPr>
            <w:r w:rsidRPr="00370856">
              <w:rPr>
                <w:rFonts w:eastAsia="宋体"/>
                <w:i/>
                <w:lang w:eastAsia="zh-CN"/>
              </w:rPr>
              <w:t xml:space="preserve">During MBSR's mobility, the TAC broadcasted by the MBSR is the same as the TAC of the cell where the IAB-UE is located. </w:t>
            </w:r>
            <w:r w:rsidRPr="00370856">
              <w:rPr>
                <w:rFonts w:eastAsia="宋体"/>
                <w:i/>
                <w:highlight w:val="yellow"/>
                <w:lang w:eastAsia="zh-CN"/>
              </w:rPr>
              <w:t xml:space="preserve">When the IAB-UE enters to a new TA, the cell broadcasting information is </w:t>
            </w:r>
            <w:r w:rsidRPr="00370856">
              <w:rPr>
                <w:rFonts w:eastAsia="宋体"/>
                <w:i/>
                <w:color w:val="C00000"/>
                <w:highlight w:val="yellow"/>
                <w:lang w:eastAsia="zh-CN"/>
              </w:rPr>
              <w:t>updated accordingly</w:t>
            </w:r>
            <w:r w:rsidRPr="00370856">
              <w:rPr>
                <w:rFonts w:eastAsia="宋体"/>
                <w:i/>
                <w:lang w:eastAsia="zh-CN"/>
              </w:rPr>
              <w:t>.</w:t>
            </w:r>
          </w:p>
        </w:tc>
      </w:tr>
    </w:tbl>
    <w:p w14:paraId="6E751232" w14:textId="0567CFE6" w:rsidR="00626A17" w:rsidRPr="00684C87" w:rsidRDefault="00626A17" w:rsidP="00626A17">
      <w:pPr>
        <w:rPr>
          <w:rFonts w:eastAsia="宋体"/>
          <w:lang w:eastAsia="zh-CN"/>
        </w:rPr>
      </w:pPr>
      <w:r w:rsidRPr="00684C87">
        <w:rPr>
          <w:rFonts w:eastAsia="宋体"/>
          <w:lang w:eastAsia="zh-CN"/>
        </w:rPr>
        <w:t>Therefore, it is proposed,</w:t>
      </w:r>
    </w:p>
    <w:p w14:paraId="457A54EA" w14:textId="292E3315" w:rsidR="008B50BF" w:rsidRPr="00684C87" w:rsidRDefault="008B50BF" w:rsidP="00684C87">
      <w:pPr>
        <w:spacing w:beforeLines="50" w:before="120"/>
        <w:rPr>
          <w:rFonts w:eastAsia="宋体"/>
          <w:b/>
          <w:lang w:eastAsia="zh-CN"/>
        </w:rPr>
      </w:pPr>
      <w:r w:rsidRPr="00684C87">
        <w:rPr>
          <w:rFonts w:eastAsia="宋体"/>
          <w:b/>
          <w:lang w:eastAsia="zh-CN"/>
        </w:rPr>
        <w:t xml:space="preserve">Proposal </w:t>
      </w:r>
      <w:r w:rsidR="00684C87" w:rsidRPr="00684C87">
        <w:rPr>
          <w:rFonts w:eastAsia="宋体"/>
          <w:b/>
          <w:lang w:eastAsia="zh-CN"/>
        </w:rPr>
        <w:t>4</w:t>
      </w:r>
      <w:r w:rsidRPr="00684C87">
        <w:rPr>
          <w:rFonts w:eastAsia="宋体"/>
          <w:b/>
          <w:lang w:eastAsia="zh-CN"/>
        </w:rPr>
        <w:t xml:space="preserve">: </w:t>
      </w:r>
      <w:r w:rsidR="00684C87" w:rsidRPr="00684C87">
        <w:rPr>
          <w:rFonts w:eastAsia="宋体"/>
          <w:b/>
          <w:lang w:eastAsia="zh-CN"/>
        </w:rPr>
        <w:t xml:space="preserve">RAN2 confirm the SA2 TR conclusion: TAC broadcasted by mobile IAB is </w:t>
      </w:r>
      <w:r w:rsidR="00684C87">
        <w:rPr>
          <w:rFonts w:eastAsia="宋体"/>
          <w:b/>
          <w:lang w:eastAsia="zh-CN"/>
        </w:rPr>
        <w:t xml:space="preserve">the </w:t>
      </w:r>
      <w:r w:rsidR="00684C87" w:rsidRPr="00684C87">
        <w:rPr>
          <w:rFonts w:eastAsia="宋体"/>
          <w:b/>
          <w:lang w:eastAsia="zh-CN"/>
        </w:rPr>
        <w:t>same as the TAC of mobile IAB-MT’s parent cell.</w:t>
      </w:r>
    </w:p>
    <w:p w14:paraId="6A4F35E0" w14:textId="46E1EAF2" w:rsidR="00AD1B0C" w:rsidRPr="00370856" w:rsidRDefault="00054AC1" w:rsidP="00054AC1">
      <w:pPr>
        <w:pStyle w:val="27"/>
        <w:rPr>
          <w:rFonts w:ascii="Times New Roman" w:eastAsiaTheme="minorEastAsia" w:hAnsi="Times New Roman"/>
          <w:sz w:val="28"/>
          <w:szCs w:val="28"/>
          <w:lang w:eastAsia="zh-CN"/>
        </w:rPr>
      </w:pPr>
      <w:r w:rsidRPr="00370856">
        <w:rPr>
          <w:rFonts w:ascii="Times New Roman" w:eastAsiaTheme="minorEastAsia" w:hAnsi="Times New Roman"/>
          <w:sz w:val="28"/>
          <w:szCs w:val="28"/>
          <w:lang w:eastAsia="zh-CN"/>
        </w:rPr>
        <w:t>2.</w:t>
      </w:r>
      <w:r w:rsidR="00370856">
        <w:rPr>
          <w:rFonts w:ascii="Times New Roman" w:eastAsiaTheme="minorEastAsia" w:hAnsi="Times New Roman"/>
          <w:sz w:val="28"/>
          <w:szCs w:val="28"/>
          <w:lang w:eastAsia="zh-CN"/>
        </w:rPr>
        <w:t>3</w:t>
      </w:r>
      <w:r w:rsidRPr="00370856">
        <w:rPr>
          <w:rFonts w:ascii="Times New Roman" w:eastAsiaTheme="minorEastAsia" w:hAnsi="Times New Roman"/>
          <w:sz w:val="28"/>
          <w:szCs w:val="28"/>
          <w:lang w:eastAsia="zh-CN"/>
        </w:rPr>
        <w:t>.2 RANAC</w:t>
      </w:r>
    </w:p>
    <w:p w14:paraId="65625824" w14:textId="1A5A81FB" w:rsidR="00DD2CDA" w:rsidRPr="00370856" w:rsidRDefault="00DD2CDA" w:rsidP="0009018C">
      <w:pPr>
        <w:rPr>
          <w:rFonts w:eastAsia="宋体"/>
          <w:lang w:eastAsia="zh-CN"/>
        </w:rPr>
      </w:pPr>
      <w:r w:rsidRPr="00370856">
        <w:rPr>
          <w:rFonts w:eastAsia="宋体"/>
          <w:lang w:eastAsia="zh-CN"/>
        </w:rPr>
        <w:t xml:space="preserve">An RNA </w:t>
      </w:r>
      <w:r w:rsidR="00822E06" w:rsidRPr="00370856">
        <w:rPr>
          <w:rFonts w:eastAsia="宋体"/>
          <w:lang w:eastAsia="zh-CN"/>
        </w:rPr>
        <w:t xml:space="preserve">managed by RAN is assigned to the UE when </w:t>
      </w:r>
      <w:r w:rsidR="00197BD9" w:rsidRPr="00370856">
        <w:rPr>
          <w:rFonts w:eastAsia="宋体"/>
          <w:lang w:eastAsia="zh-CN"/>
        </w:rPr>
        <w:t xml:space="preserve">the UE is </w:t>
      </w:r>
      <w:r w:rsidR="00822E06" w:rsidRPr="00370856">
        <w:rPr>
          <w:rFonts w:eastAsia="宋体"/>
          <w:lang w:eastAsia="zh-CN"/>
        </w:rPr>
        <w:t>released to the INACTIVE mode.</w:t>
      </w:r>
      <w:r w:rsidR="00A70329" w:rsidRPr="00370856">
        <w:rPr>
          <w:rFonts w:eastAsia="宋体"/>
          <w:lang w:eastAsia="zh-CN"/>
        </w:rPr>
        <w:t xml:space="preserve"> The UE will initiate the RNAU procedure when moving to a cell not in the RNA. </w:t>
      </w:r>
      <w:r w:rsidRPr="00370856">
        <w:rPr>
          <w:rFonts w:eastAsia="宋体"/>
          <w:lang w:eastAsia="zh-CN"/>
        </w:rPr>
        <w:t xml:space="preserve">To be specific, the RNA can be configured via a list of cell IDs, RANACs, or TACs. </w:t>
      </w:r>
      <w:r w:rsidRPr="00370856">
        <w:t>The following discusses the static and changeable</w:t>
      </w:r>
      <w:r w:rsidR="00E23E88" w:rsidRPr="00370856">
        <w:t xml:space="preserve"> impacts under the three RNA configurations. </w:t>
      </w:r>
    </w:p>
    <w:p w14:paraId="03D49FCE" w14:textId="362BF4F4" w:rsidR="00DD2CDA" w:rsidRPr="00370856" w:rsidRDefault="00E23E88" w:rsidP="005B4A14">
      <w:pPr>
        <w:numPr>
          <w:ilvl w:val="0"/>
          <w:numId w:val="20"/>
        </w:numPr>
        <w:overflowPunct w:val="0"/>
        <w:autoSpaceDE w:val="0"/>
        <w:autoSpaceDN w:val="0"/>
        <w:adjustRightInd w:val="0"/>
        <w:spacing w:after="120"/>
        <w:textAlignment w:val="baseline"/>
        <w:rPr>
          <w:b/>
        </w:rPr>
      </w:pPr>
      <w:r w:rsidRPr="00370856">
        <w:rPr>
          <w:b/>
        </w:rPr>
        <w:t>RNA configured via a cell ID list</w:t>
      </w:r>
    </w:p>
    <w:p w14:paraId="14208F24" w14:textId="7820FF56" w:rsidR="000C1D97" w:rsidRPr="00370856" w:rsidRDefault="000C1D97" w:rsidP="000C1D97">
      <w:pPr>
        <w:overflowPunct w:val="0"/>
        <w:autoSpaceDE w:val="0"/>
        <w:autoSpaceDN w:val="0"/>
        <w:adjustRightInd w:val="0"/>
        <w:spacing w:after="120"/>
        <w:ind w:left="420"/>
        <w:textAlignment w:val="baseline"/>
        <w:rPr>
          <w:rFonts w:eastAsiaTheme="minorEastAsia"/>
          <w:lang w:eastAsia="zh-CN"/>
        </w:rPr>
      </w:pPr>
      <w:r w:rsidRPr="00370856">
        <w:rPr>
          <w:rFonts w:eastAsiaTheme="minorEastAsia"/>
          <w:lang w:eastAsia="zh-CN"/>
        </w:rPr>
        <w:t xml:space="preserve">The cell ID refers to the NCGI, so whether it is static or changed should follow the </w:t>
      </w:r>
      <w:r w:rsidR="00EE61AA">
        <w:rPr>
          <w:rFonts w:eastAsiaTheme="minorEastAsia"/>
          <w:lang w:eastAsia="zh-CN"/>
        </w:rPr>
        <w:t xml:space="preserve">RAN3 </w:t>
      </w:r>
      <w:r w:rsidRPr="00370856">
        <w:rPr>
          <w:rFonts w:eastAsiaTheme="minorEastAsia"/>
          <w:lang w:eastAsia="zh-CN"/>
        </w:rPr>
        <w:t>agreement that “</w:t>
      </w:r>
      <w:r w:rsidRPr="00370856">
        <w:rPr>
          <w:i/>
        </w:rPr>
        <w:t>The NCGI of the mobile IAB-DU cell is changed when the F1-terminating donor CU of the mobile IAB-DU is changed</w:t>
      </w:r>
      <w:r w:rsidRPr="00370856">
        <w:rPr>
          <w:rFonts w:eastAsiaTheme="minorEastAsia"/>
          <w:lang w:eastAsia="zh-CN"/>
        </w:rPr>
        <w:t xml:space="preserve">”. </w:t>
      </w:r>
    </w:p>
    <w:p w14:paraId="29D97FC2" w14:textId="40200303" w:rsidR="00E23E88" w:rsidRPr="00370856" w:rsidRDefault="00E23E88" w:rsidP="005B4A14">
      <w:pPr>
        <w:numPr>
          <w:ilvl w:val="0"/>
          <w:numId w:val="20"/>
        </w:numPr>
        <w:overflowPunct w:val="0"/>
        <w:autoSpaceDE w:val="0"/>
        <w:autoSpaceDN w:val="0"/>
        <w:adjustRightInd w:val="0"/>
        <w:spacing w:after="120"/>
        <w:textAlignment w:val="baseline"/>
        <w:rPr>
          <w:b/>
        </w:rPr>
      </w:pPr>
      <w:r w:rsidRPr="00370856">
        <w:rPr>
          <w:b/>
        </w:rPr>
        <w:t>RNA configured via a RANAC list</w:t>
      </w:r>
    </w:p>
    <w:p w14:paraId="16B4D222" w14:textId="48CA5207" w:rsidR="007111A6" w:rsidRPr="00370856" w:rsidRDefault="007111A6" w:rsidP="007111A6">
      <w:pPr>
        <w:overflowPunct w:val="0"/>
        <w:autoSpaceDE w:val="0"/>
        <w:autoSpaceDN w:val="0"/>
        <w:adjustRightInd w:val="0"/>
        <w:spacing w:after="120"/>
        <w:ind w:left="420"/>
        <w:textAlignment w:val="baseline"/>
        <w:rPr>
          <w:b/>
        </w:rPr>
      </w:pPr>
      <w:r w:rsidRPr="00370856">
        <w:rPr>
          <w:b/>
        </w:rPr>
        <w:t xml:space="preserve">Static RANAC </w:t>
      </w:r>
    </w:p>
    <w:p w14:paraId="31EE2E2E" w14:textId="77777777" w:rsidR="007111A6" w:rsidRPr="00370856" w:rsidRDefault="007111A6" w:rsidP="005B4A14">
      <w:pPr>
        <w:numPr>
          <w:ilvl w:val="0"/>
          <w:numId w:val="19"/>
        </w:numPr>
        <w:overflowPunct w:val="0"/>
        <w:autoSpaceDE w:val="0"/>
        <w:autoSpaceDN w:val="0"/>
        <w:adjustRightInd w:val="0"/>
        <w:spacing w:after="120"/>
        <w:textAlignment w:val="baseline"/>
        <w:rPr>
          <w:b/>
        </w:rPr>
      </w:pPr>
      <w:r w:rsidRPr="00370856">
        <w:rPr>
          <w:b/>
        </w:rPr>
        <w:t>UE impacts:</w:t>
      </w:r>
    </w:p>
    <w:p w14:paraId="196E6DA9" w14:textId="77777777" w:rsidR="007111A6" w:rsidRPr="003570E8" w:rsidRDefault="007111A6" w:rsidP="007111A6">
      <w:pPr>
        <w:ind w:left="840"/>
        <w:rPr>
          <w:b/>
          <w:i/>
        </w:rPr>
      </w:pPr>
      <w:r w:rsidRPr="003570E8">
        <w:rPr>
          <w:b/>
          <w:i/>
        </w:rPr>
        <w:t>On-board UEs: (misunderstanding on the UE’s last serving gNB)</w:t>
      </w:r>
    </w:p>
    <w:p w14:paraId="3C71A2CB" w14:textId="78ED9005" w:rsidR="007111A6" w:rsidRPr="00370856" w:rsidRDefault="007111A6" w:rsidP="007111A6">
      <w:pPr>
        <w:ind w:left="840"/>
      </w:pPr>
      <w:r w:rsidRPr="00370856">
        <w:t>On-board INACTIVE UEs will not initiate the RNAU procedure due to the unchanged RANAC. When the IAB-node continues to move for a long distance and connects to a new donor-gNB not having Xn interface with the last serving gNB, RAN may not be able to find the on-board INACTIVE UEs using RAN paging.</w:t>
      </w:r>
    </w:p>
    <w:p w14:paraId="6E7F1AA3" w14:textId="77777777" w:rsidR="007111A6" w:rsidRPr="003570E8" w:rsidRDefault="007111A6" w:rsidP="007111A6">
      <w:pPr>
        <w:ind w:left="840"/>
        <w:rPr>
          <w:b/>
          <w:i/>
        </w:rPr>
      </w:pPr>
      <w:r w:rsidRPr="003570E8">
        <w:rPr>
          <w:b/>
          <w:i/>
        </w:rPr>
        <w:t>Surrounding UEs: (frequent RNAU)</w:t>
      </w:r>
    </w:p>
    <w:p w14:paraId="1D2DD7B4" w14:textId="0639F880" w:rsidR="007111A6" w:rsidRPr="00370856" w:rsidRDefault="007111A6" w:rsidP="007111A6">
      <w:pPr>
        <w:ind w:left="840"/>
      </w:pPr>
      <w:r w:rsidRPr="00370856">
        <w:t xml:space="preserve">Similar to the </w:t>
      </w:r>
      <w:r w:rsidR="00F85413" w:rsidRPr="00370856">
        <w:t>static</w:t>
      </w:r>
      <w:r w:rsidRPr="00370856">
        <w:t xml:space="preserve"> TAC case, frequent RNAU will be performed by the surrounding INACTIVE UEs.</w:t>
      </w:r>
    </w:p>
    <w:p w14:paraId="02B8CADE" w14:textId="77777777" w:rsidR="007111A6" w:rsidRPr="00370856" w:rsidRDefault="007111A6" w:rsidP="005B4A14">
      <w:pPr>
        <w:numPr>
          <w:ilvl w:val="0"/>
          <w:numId w:val="19"/>
        </w:numPr>
        <w:overflowPunct w:val="0"/>
        <w:autoSpaceDE w:val="0"/>
        <w:autoSpaceDN w:val="0"/>
        <w:adjustRightInd w:val="0"/>
        <w:spacing w:after="120"/>
        <w:textAlignment w:val="baseline"/>
        <w:rPr>
          <w:b/>
        </w:rPr>
      </w:pPr>
      <w:r w:rsidRPr="00370856">
        <w:rPr>
          <w:b/>
        </w:rPr>
        <w:t>RAN impacts:</w:t>
      </w:r>
    </w:p>
    <w:p w14:paraId="064B5C27" w14:textId="77777777" w:rsidR="007111A6" w:rsidRPr="00370856" w:rsidRDefault="007111A6" w:rsidP="007111A6">
      <w:pPr>
        <w:ind w:left="840"/>
      </w:pPr>
      <w:r w:rsidRPr="00370856">
        <w:t>Similar to the fixed TAC case, frequent NG-RAN NODE CONFIGURATION UPDATE will be performed.</w:t>
      </w:r>
    </w:p>
    <w:p w14:paraId="6AE8442F" w14:textId="7897E96C" w:rsidR="00F85413" w:rsidRPr="00370856" w:rsidRDefault="00F85413" w:rsidP="00F85413">
      <w:pPr>
        <w:overflowPunct w:val="0"/>
        <w:autoSpaceDE w:val="0"/>
        <w:autoSpaceDN w:val="0"/>
        <w:adjustRightInd w:val="0"/>
        <w:spacing w:after="120"/>
        <w:ind w:left="420"/>
        <w:textAlignment w:val="baseline"/>
        <w:rPr>
          <w:b/>
        </w:rPr>
      </w:pPr>
      <w:r w:rsidRPr="00370856">
        <w:rPr>
          <w:b/>
        </w:rPr>
        <w:t xml:space="preserve">Changeable RANAC </w:t>
      </w:r>
    </w:p>
    <w:p w14:paraId="0F25F47A" w14:textId="77777777" w:rsidR="00F85413" w:rsidRPr="00370856" w:rsidRDefault="00F85413" w:rsidP="005B4A14">
      <w:pPr>
        <w:numPr>
          <w:ilvl w:val="0"/>
          <w:numId w:val="19"/>
        </w:numPr>
        <w:overflowPunct w:val="0"/>
        <w:autoSpaceDE w:val="0"/>
        <w:autoSpaceDN w:val="0"/>
        <w:adjustRightInd w:val="0"/>
        <w:spacing w:after="120"/>
        <w:textAlignment w:val="baseline"/>
        <w:rPr>
          <w:b/>
        </w:rPr>
      </w:pPr>
      <w:r w:rsidRPr="00370856">
        <w:rPr>
          <w:b/>
        </w:rPr>
        <w:t>UE impacts:</w:t>
      </w:r>
    </w:p>
    <w:p w14:paraId="3E20AE2F" w14:textId="77777777" w:rsidR="00F85413" w:rsidRPr="003570E8" w:rsidRDefault="00F85413" w:rsidP="00F85413">
      <w:pPr>
        <w:ind w:left="840"/>
        <w:rPr>
          <w:b/>
          <w:i/>
        </w:rPr>
      </w:pPr>
      <w:r w:rsidRPr="003570E8">
        <w:rPr>
          <w:b/>
          <w:i/>
        </w:rPr>
        <w:t>On-board UEs:</w:t>
      </w:r>
    </w:p>
    <w:p w14:paraId="06C70DF4" w14:textId="59F03510" w:rsidR="00F85413" w:rsidRPr="00370856" w:rsidRDefault="00F85413" w:rsidP="00F85413">
      <w:pPr>
        <w:ind w:left="840"/>
      </w:pPr>
      <w:r w:rsidRPr="00370856">
        <w:t>Signalling overhead of RNAU initiated by UE when UE detects it is entering a cell not in the RNA.</w:t>
      </w:r>
    </w:p>
    <w:p w14:paraId="1D6F0B0E" w14:textId="77777777" w:rsidR="00F85413" w:rsidRPr="003570E8" w:rsidRDefault="00F85413" w:rsidP="00F85413">
      <w:pPr>
        <w:ind w:left="840"/>
        <w:rPr>
          <w:b/>
          <w:i/>
        </w:rPr>
      </w:pPr>
      <w:r w:rsidRPr="003570E8">
        <w:rPr>
          <w:b/>
          <w:i/>
        </w:rPr>
        <w:t>Surrounding UEs:</w:t>
      </w:r>
    </w:p>
    <w:p w14:paraId="4807E184" w14:textId="2065613E" w:rsidR="00F85413" w:rsidRPr="00370856" w:rsidRDefault="00F85413" w:rsidP="00F85413">
      <w:pPr>
        <w:ind w:left="840"/>
      </w:pPr>
      <w:r w:rsidRPr="00370856">
        <w:t xml:space="preserve">If the mobile IAB cell broadcasts a RANAC related to the actual physical location, the surrounding UEs may not trigger RNAU if this RANAC is within the RNA. </w:t>
      </w:r>
    </w:p>
    <w:p w14:paraId="71635F17" w14:textId="77777777" w:rsidR="00F85413" w:rsidRPr="00370856" w:rsidRDefault="00F85413" w:rsidP="005B4A14">
      <w:pPr>
        <w:numPr>
          <w:ilvl w:val="0"/>
          <w:numId w:val="19"/>
        </w:numPr>
        <w:overflowPunct w:val="0"/>
        <w:autoSpaceDE w:val="0"/>
        <w:autoSpaceDN w:val="0"/>
        <w:adjustRightInd w:val="0"/>
        <w:spacing w:after="120"/>
        <w:textAlignment w:val="baseline"/>
        <w:rPr>
          <w:b/>
        </w:rPr>
      </w:pPr>
      <w:r w:rsidRPr="00370856">
        <w:rPr>
          <w:b/>
        </w:rPr>
        <w:t>RAN impacts:</w:t>
      </w:r>
    </w:p>
    <w:p w14:paraId="787CE84A" w14:textId="2B2A3BD7" w:rsidR="00F85413" w:rsidRPr="00370856" w:rsidRDefault="00F85413" w:rsidP="00F85413">
      <w:pPr>
        <w:ind w:left="840"/>
      </w:pPr>
      <w:r w:rsidRPr="00370856">
        <w:t>RAN-based solutions may be required to support RANAC updates.</w:t>
      </w:r>
    </w:p>
    <w:p w14:paraId="1806FAF0" w14:textId="439BE464" w:rsidR="00E23E88" w:rsidRPr="00370856" w:rsidRDefault="00E23E88" w:rsidP="005B4A14">
      <w:pPr>
        <w:numPr>
          <w:ilvl w:val="0"/>
          <w:numId w:val="20"/>
        </w:numPr>
        <w:overflowPunct w:val="0"/>
        <w:autoSpaceDE w:val="0"/>
        <w:autoSpaceDN w:val="0"/>
        <w:adjustRightInd w:val="0"/>
        <w:spacing w:after="120"/>
        <w:textAlignment w:val="baseline"/>
        <w:rPr>
          <w:b/>
        </w:rPr>
      </w:pPr>
      <w:r w:rsidRPr="00370856">
        <w:rPr>
          <w:b/>
        </w:rPr>
        <w:t>RNA configured via a TAC list</w:t>
      </w:r>
    </w:p>
    <w:p w14:paraId="4F60FE72" w14:textId="1500FB55" w:rsidR="00E23E88" w:rsidRPr="00370856" w:rsidRDefault="0037569D" w:rsidP="0037569D">
      <w:pPr>
        <w:overflowPunct w:val="0"/>
        <w:autoSpaceDE w:val="0"/>
        <w:autoSpaceDN w:val="0"/>
        <w:adjustRightInd w:val="0"/>
        <w:spacing w:after="120"/>
        <w:ind w:left="420"/>
        <w:textAlignment w:val="baseline"/>
        <w:rPr>
          <w:rFonts w:eastAsiaTheme="minorEastAsia"/>
          <w:lang w:eastAsia="zh-CN"/>
        </w:rPr>
      </w:pPr>
      <w:r w:rsidRPr="00370856">
        <w:rPr>
          <w:rFonts w:eastAsiaTheme="minorEastAsia"/>
          <w:lang w:eastAsia="zh-CN"/>
        </w:rPr>
        <w:t>Wait and follow the conclusion of TAC.</w:t>
      </w:r>
    </w:p>
    <w:p w14:paraId="1964B9A3" w14:textId="0AAAC2E6" w:rsidR="00F85413" w:rsidRPr="00370856" w:rsidRDefault="00F85413" w:rsidP="00F85413">
      <w:pPr>
        <w:rPr>
          <w:rFonts w:eastAsia="宋体"/>
          <w:lang w:eastAsia="zh-CN"/>
        </w:rPr>
      </w:pPr>
      <w:r w:rsidRPr="00370856">
        <w:rPr>
          <w:rFonts w:eastAsia="宋体"/>
          <w:lang w:eastAsia="zh-CN"/>
        </w:rPr>
        <w:t xml:space="preserve">Given the above analysis, for the RANAC-based RNA configuration, static RANACs have a great impact on UE and RAN than changeable RANACs. </w:t>
      </w:r>
    </w:p>
    <w:p w14:paraId="377F0087" w14:textId="3F8EA238" w:rsidR="00F85413" w:rsidRPr="00370856" w:rsidRDefault="00F85413" w:rsidP="00F85413">
      <w:pPr>
        <w:spacing w:beforeLines="50" w:before="120"/>
        <w:rPr>
          <w:rFonts w:eastAsia="宋体"/>
          <w:b/>
          <w:lang w:eastAsia="zh-CN"/>
        </w:rPr>
      </w:pPr>
      <w:r w:rsidRPr="00370856">
        <w:rPr>
          <w:rFonts w:eastAsia="宋体"/>
          <w:b/>
          <w:lang w:eastAsia="zh-CN"/>
        </w:rPr>
        <w:lastRenderedPageBreak/>
        <w:t xml:space="preserve">Observation </w:t>
      </w:r>
      <w:r w:rsidR="00BC5D84">
        <w:rPr>
          <w:rFonts w:eastAsia="宋体"/>
          <w:b/>
          <w:lang w:eastAsia="zh-CN"/>
        </w:rPr>
        <w:t>6</w:t>
      </w:r>
      <w:r w:rsidRPr="00370856">
        <w:rPr>
          <w:rFonts w:eastAsia="宋体"/>
          <w:b/>
          <w:lang w:eastAsia="zh-CN"/>
        </w:rPr>
        <w:t>: Static RANAC has a greater impact on UE and RAN</w:t>
      </w:r>
      <w:r w:rsidR="00A31335">
        <w:rPr>
          <w:rFonts w:eastAsia="宋体"/>
          <w:b/>
          <w:lang w:eastAsia="zh-CN"/>
        </w:rPr>
        <w:t xml:space="preserve"> than</w:t>
      </w:r>
      <w:r w:rsidRPr="00370856">
        <w:rPr>
          <w:rFonts w:eastAsia="宋体"/>
          <w:b/>
          <w:lang w:eastAsia="zh-CN"/>
        </w:rPr>
        <w:t xml:space="preserve"> changeable RANAC.</w:t>
      </w:r>
    </w:p>
    <w:p w14:paraId="03EE68EC" w14:textId="5AA5D40E" w:rsidR="00061186" w:rsidRPr="00370856" w:rsidRDefault="00061186" w:rsidP="00061186">
      <w:pPr>
        <w:rPr>
          <w:rFonts w:eastAsia="宋体"/>
          <w:lang w:eastAsia="zh-CN"/>
        </w:rPr>
      </w:pPr>
      <w:r w:rsidRPr="00370856">
        <w:rPr>
          <w:rFonts w:eastAsia="宋体"/>
          <w:lang w:eastAsia="zh-CN"/>
        </w:rPr>
        <w:t>As for the RANAC update mechanisms, two options are provided as follows,</w:t>
      </w:r>
    </w:p>
    <w:p w14:paraId="20EC3DAD" w14:textId="77777777" w:rsidR="00061186" w:rsidRPr="00370856" w:rsidRDefault="00061186" w:rsidP="005B4A14">
      <w:pPr>
        <w:pStyle w:val="af9"/>
        <w:numPr>
          <w:ilvl w:val="0"/>
          <w:numId w:val="21"/>
        </w:numPr>
        <w:ind w:firstLineChars="0"/>
        <w:rPr>
          <w:rFonts w:eastAsia="宋体"/>
          <w:b/>
          <w:lang w:eastAsia="zh-CN"/>
        </w:rPr>
      </w:pPr>
      <w:r w:rsidRPr="00370856">
        <w:rPr>
          <w:rFonts w:eastAsia="宋体"/>
          <w:b/>
          <w:lang w:eastAsia="zh-CN"/>
        </w:rPr>
        <w:t>Option #1:</w:t>
      </w:r>
    </w:p>
    <w:p w14:paraId="628DC988" w14:textId="3B66A677" w:rsidR="00061186" w:rsidRPr="00370856" w:rsidRDefault="00061186" w:rsidP="00061186">
      <w:pPr>
        <w:pStyle w:val="af9"/>
        <w:ind w:left="420" w:firstLineChars="0" w:firstLine="0"/>
        <w:rPr>
          <w:rFonts w:eastAsia="宋体"/>
          <w:lang w:eastAsia="zh-CN"/>
        </w:rPr>
      </w:pPr>
      <w:r w:rsidRPr="00370856">
        <w:rPr>
          <w:rFonts w:eastAsia="宋体"/>
          <w:lang w:eastAsia="zh-CN"/>
        </w:rPr>
        <w:t>Similar to the TAC case, the RANAC broadcast by the mobile IAB-cell is the same as the RANAC of the mobile IAB-MT’s parent cell.</w:t>
      </w:r>
    </w:p>
    <w:p w14:paraId="2422B50B" w14:textId="77777777" w:rsidR="00061186" w:rsidRPr="00370856" w:rsidRDefault="00061186" w:rsidP="005B4A14">
      <w:pPr>
        <w:pStyle w:val="af9"/>
        <w:numPr>
          <w:ilvl w:val="0"/>
          <w:numId w:val="21"/>
        </w:numPr>
        <w:ind w:firstLineChars="0"/>
        <w:rPr>
          <w:rFonts w:eastAsia="宋体"/>
          <w:b/>
          <w:lang w:eastAsia="zh-CN"/>
        </w:rPr>
      </w:pPr>
      <w:r w:rsidRPr="00370856">
        <w:rPr>
          <w:rFonts w:eastAsia="宋体"/>
          <w:b/>
          <w:lang w:eastAsia="zh-CN"/>
        </w:rPr>
        <w:t>Option #2:</w:t>
      </w:r>
    </w:p>
    <w:p w14:paraId="26C4F847" w14:textId="732F155B" w:rsidR="00061186" w:rsidRPr="00370856" w:rsidRDefault="00061186" w:rsidP="00061186">
      <w:pPr>
        <w:pStyle w:val="af9"/>
        <w:ind w:left="420" w:firstLineChars="0" w:firstLine="0"/>
        <w:rPr>
          <w:rFonts w:eastAsia="宋体"/>
          <w:b/>
          <w:lang w:eastAsia="zh-CN"/>
        </w:rPr>
      </w:pPr>
      <w:r w:rsidRPr="00370856">
        <w:rPr>
          <w:rFonts w:eastAsia="宋体"/>
          <w:lang w:eastAsia="zh-CN"/>
        </w:rPr>
        <w:t>The F1-terminating IAB-donor-CU determines when and how to change the RANAC of the mobile IAB cell. F1AP signalling for RANAC updates may be required.</w:t>
      </w:r>
    </w:p>
    <w:p w14:paraId="705338B8" w14:textId="0E5F06CF" w:rsidR="00061186" w:rsidRPr="00370856" w:rsidRDefault="00EE61AA" w:rsidP="00061186">
      <w:pPr>
        <w:rPr>
          <w:rFonts w:eastAsia="宋体"/>
          <w:lang w:eastAsia="zh-CN"/>
        </w:rPr>
      </w:pPr>
      <w:r>
        <w:rPr>
          <w:rFonts w:eastAsia="宋体"/>
          <w:lang w:eastAsia="zh-CN"/>
        </w:rPr>
        <w:t>Therefore,</w:t>
      </w:r>
      <w:r w:rsidR="00061186" w:rsidRPr="00370856">
        <w:rPr>
          <w:rFonts w:eastAsia="宋体"/>
          <w:lang w:eastAsia="zh-CN"/>
        </w:rPr>
        <w:t xml:space="preserve"> it is proposed, </w:t>
      </w:r>
    </w:p>
    <w:p w14:paraId="71D0F5C2" w14:textId="2B615D7F" w:rsidR="00061186" w:rsidRPr="00370856" w:rsidRDefault="00061186" w:rsidP="00061186">
      <w:pPr>
        <w:spacing w:beforeLines="50" w:before="120"/>
        <w:rPr>
          <w:rFonts w:eastAsia="宋体"/>
          <w:b/>
          <w:lang w:eastAsia="zh-CN"/>
        </w:rPr>
      </w:pPr>
      <w:r w:rsidRPr="00370856">
        <w:rPr>
          <w:rFonts w:eastAsia="宋体"/>
          <w:b/>
          <w:lang w:eastAsia="zh-CN"/>
        </w:rPr>
        <w:t xml:space="preserve">Proposal </w:t>
      </w:r>
      <w:r w:rsidR="00EE61AA">
        <w:rPr>
          <w:rFonts w:eastAsia="宋体"/>
          <w:b/>
          <w:lang w:eastAsia="zh-CN"/>
        </w:rPr>
        <w:t>5</w:t>
      </w:r>
      <w:r w:rsidRPr="00370856">
        <w:rPr>
          <w:rFonts w:eastAsia="宋体"/>
          <w:b/>
          <w:lang w:eastAsia="zh-CN"/>
        </w:rPr>
        <w:t>: RAN</w:t>
      </w:r>
      <w:r w:rsidR="00EE61AA">
        <w:rPr>
          <w:rFonts w:eastAsia="宋体"/>
          <w:b/>
          <w:lang w:eastAsia="zh-CN"/>
        </w:rPr>
        <w:t>2</w:t>
      </w:r>
      <w:r w:rsidRPr="00370856">
        <w:rPr>
          <w:rFonts w:eastAsia="宋体"/>
          <w:b/>
          <w:lang w:eastAsia="zh-CN"/>
        </w:rPr>
        <w:t xml:space="preserve"> to discuss the following options for RANAC updates,</w:t>
      </w:r>
    </w:p>
    <w:p w14:paraId="56E4A94A" w14:textId="27146A27" w:rsidR="00061186" w:rsidRPr="00370856" w:rsidRDefault="00061186" w:rsidP="005B4A14">
      <w:pPr>
        <w:pStyle w:val="af9"/>
        <w:numPr>
          <w:ilvl w:val="0"/>
          <w:numId w:val="22"/>
        </w:numPr>
        <w:spacing w:beforeLines="50" w:before="120"/>
        <w:ind w:firstLineChars="0"/>
        <w:rPr>
          <w:rFonts w:eastAsia="宋体"/>
          <w:b/>
          <w:lang w:eastAsia="zh-CN"/>
        </w:rPr>
      </w:pPr>
      <w:r w:rsidRPr="00370856">
        <w:rPr>
          <w:rFonts w:eastAsia="宋体"/>
          <w:b/>
          <w:lang w:eastAsia="zh-CN"/>
        </w:rPr>
        <w:t>Option</w:t>
      </w:r>
      <w:r w:rsidR="00540ACE">
        <w:rPr>
          <w:rFonts w:eastAsia="宋体"/>
          <w:b/>
          <w:lang w:eastAsia="zh-CN"/>
        </w:rPr>
        <w:t xml:space="preserve"> </w:t>
      </w:r>
      <w:r w:rsidRPr="00370856">
        <w:rPr>
          <w:rFonts w:eastAsia="宋体"/>
          <w:b/>
          <w:lang w:eastAsia="zh-CN"/>
        </w:rPr>
        <w:t>1:</w:t>
      </w:r>
      <w:r w:rsidRPr="00370856">
        <w:t xml:space="preserve"> </w:t>
      </w:r>
      <w:r w:rsidRPr="00370856">
        <w:rPr>
          <w:rFonts w:eastAsia="宋体"/>
          <w:b/>
          <w:lang w:eastAsia="zh-CN"/>
        </w:rPr>
        <w:t>The RANAC broadcast</w:t>
      </w:r>
      <w:r w:rsidR="009A68B1">
        <w:rPr>
          <w:rFonts w:eastAsia="宋体"/>
          <w:b/>
          <w:lang w:eastAsia="zh-CN"/>
        </w:rPr>
        <w:t>ed</w:t>
      </w:r>
      <w:r w:rsidR="001E25D7">
        <w:rPr>
          <w:rFonts w:eastAsia="宋体"/>
          <w:b/>
          <w:lang w:eastAsia="zh-CN"/>
        </w:rPr>
        <w:t xml:space="preserve"> by the mobile IAB</w:t>
      </w:r>
      <w:r w:rsidRPr="00370856">
        <w:rPr>
          <w:rFonts w:eastAsia="宋体"/>
          <w:b/>
          <w:lang w:eastAsia="zh-CN"/>
        </w:rPr>
        <w:t xml:space="preserve"> is the same as the RANAC of the mobile IAB-MT’s parent cell.</w:t>
      </w:r>
    </w:p>
    <w:p w14:paraId="406245DA" w14:textId="55392BB0" w:rsidR="00061186" w:rsidRPr="00370856" w:rsidRDefault="00061186" w:rsidP="005B4A14">
      <w:pPr>
        <w:pStyle w:val="af9"/>
        <w:numPr>
          <w:ilvl w:val="0"/>
          <w:numId w:val="22"/>
        </w:numPr>
        <w:spacing w:beforeLines="50" w:before="120"/>
        <w:ind w:firstLineChars="0"/>
        <w:rPr>
          <w:rFonts w:eastAsia="宋体"/>
          <w:b/>
          <w:lang w:eastAsia="zh-CN"/>
        </w:rPr>
      </w:pPr>
      <w:r w:rsidRPr="00370856">
        <w:rPr>
          <w:rFonts w:eastAsia="宋体"/>
          <w:b/>
          <w:lang w:eastAsia="zh-CN"/>
        </w:rPr>
        <w:t>Option</w:t>
      </w:r>
      <w:r w:rsidR="00540ACE">
        <w:rPr>
          <w:rFonts w:eastAsia="宋体"/>
          <w:b/>
          <w:lang w:eastAsia="zh-CN"/>
        </w:rPr>
        <w:t xml:space="preserve"> </w:t>
      </w:r>
      <w:r w:rsidR="00B06097">
        <w:rPr>
          <w:rFonts w:eastAsia="宋体"/>
          <w:b/>
          <w:lang w:eastAsia="zh-CN"/>
        </w:rPr>
        <w:t xml:space="preserve">2: The F1 </w:t>
      </w:r>
      <w:r w:rsidRPr="00370856">
        <w:rPr>
          <w:rFonts w:eastAsia="宋体"/>
          <w:b/>
          <w:lang w:eastAsia="zh-CN"/>
        </w:rPr>
        <w:t xml:space="preserve">terminating </w:t>
      </w:r>
      <w:r w:rsidR="00B06097">
        <w:rPr>
          <w:rFonts w:eastAsia="宋体"/>
          <w:b/>
          <w:lang w:eastAsia="zh-CN"/>
        </w:rPr>
        <w:t xml:space="preserve">donor </w:t>
      </w:r>
      <w:r w:rsidRPr="00370856">
        <w:rPr>
          <w:rFonts w:eastAsia="宋体"/>
          <w:b/>
          <w:lang w:eastAsia="zh-CN"/>
        </w:rPr>
        <w:t>CU determines when and how to change the RANAC of the mobile IAB cell.</w:t>
      </w:r>
      <w:r w:rsidR="00EE61AA" w:rsidRPr="00EE61AA">
        <w:t xml:space="preserve"> </w:t>
      </w:r>
      <w:r w:rsidR="00EE61AA" w:rsidRPr="00EE61AA">
        <w:rPr>
          <w:rFonts w:eastAsia="宋体"/>
          <w:b/>
          <w:lang w:eastAsia="zh-CN"/>
        </w:rPr>
        <w:t>Up to RAN3 to support F1AP signaling for RAN</w:t>
      </w:r>
      <w:r w:rsidR="009A68B1">
        <w:rPr>
          <w:rFonts w:eastAsia="宋体"/>
          <w:b/>
          <w:lang w:eastAsia="zh-CN"/>
        </w:rPr>
        <w:t>A</w:t>
      </w:r>
      <w:r w:rsidR="00EE61AA" w:rsidRPr="00EE61AA">
        <w:rPr>
          <w:rFonts w:eastAsia="宋体"/>
          <w:b/>
          <w:lang w:eastAsia="zh-CN"/>
        </w:rPr>
        <w:t>C update.</w:t>
      </w:r>
    </w:p>
    <w:p w14:paraId="4EE62982" w14:textId="5838F3E9" w:rsidR="0063004D" w:rsidRPr="00370856" w:rsidRDefault="0063004D" w:rsidP="0063004D">
      <w:pPr>
        <w:pStyle w:val="21"/>
        <w:rPr>
          <w:rFonts w:ascii="Times New Roman" w:eastAsia="宋体" w:hAnsi="Times New Roman"/>
          <w:lang w:eastAsia="zh-CN"/>
        </w:rPr>
      </w:pPr>
      <w:r w:rsidRPr="00370856">
        <w:rPr>
          <w:rFonts w:ascii="Times New Roman" w:eastAsia="宋体" w:hAnsi="Times New Roman"/>
          <w:lang w:eastAsia="zh-CN"/>
        </w:rPr>
        <w:t>2.</w:t>
      </w:r>
      <w:r>
        <w:rPr>
          <w:rFonts w:ascii="Times New Roman" w:eastAsia="宋体" w:hAnsi="Times New Roman"/>
          <w:lang w:eastAsia="zh-CN"/>
        </w:rPr>
        <w:t>4</w:t>
      </w:r>
      <w:r w:rsidRPr="00370856">
        <w:rPr>
          <w:rFonts w:ascii="Times New Roman" w:eastAsia="宋体" w:hAnsi="Times New Roman"/>
          <w:lang w:eastAsia="zh-CN"/>
        </w:rPr>
        <w:t xml:space="preserve"> </w:t>
      </w:r>
      <w:r w:rsidRPr="0063004D">
        <w:rPr>
          <w:rFonts w:ascii="Times New Roman" w:eastAsia="宋体" w:hAnsi="Times New Roman"/>
          <w:lang w:eastAsia="zh-CN"/>
        </w:rPr>
        <w:t>UL flow control for mobile IAB</w:t>
      </w:r>
      <w:r w:rsidRPr="00370856">
        <w:rPr>
          <w:rFonts w:ascii="Times New Roman" w:eastAsia="宋体" w:hAnsi="Times New Roman"/>
          <w:lang w:eastAsia="zh-CN"/>
        </w:rPr>
        <w:t xml:space="preserve"> </w:t>
      </w:r>
    </w:p>
    <w:p w14:paraId="67FA1EFD" w14:textId="77777777" w:rsidR="0063004D" w:rsidRPr="0063004D" w:rsidRDefault="0063004D" w:rsidP="0063004D">
      <w:pPr>
        <w:rPr>
          <w:rFonts w:eastAsia="宋体"/>
          <w:lang w:eastAsia="zh-CN"/>
        </w:rPr>
      </w:pPr>
      <w:r w:rsidRPr="0063004D">
        <w:rPr>
          <w:rFonts w:eastAsia="宋体"/>
          <w:lang w:eastAsia="zh-CN"/>
        </w:rPr>
        <w:t>For R16/17 IAB, only DL HbH flow control is supported. To further enhance the multi-hop performance, the UL HbH flow control should be considered in R18.</w:t>
      </w:r>
    </w:p>
    <w:p w14:paraId="0183B870" w14:textId="77777777" w:rsidR="0063004D" w:rsidRPr="0063004D" w:rsidRDefault="0063004D" w:rsidP="0063004D">
      <w:pPr>
        <w:rPr>
          <w:rFonts w:eastAsia="宋体"/>
          <w:lang w:eastAsia="zh-CN"/>
        </w:rPr>
      </w:pPr>
      <w:r w:rsidRPr="0063004D">
        <w:rPr>
          <w:rFonts w:eastAsia="宋体"/>
          <w:lang w:eastAsia="zh-CN"/>
        </w:rPr>
        <w:t>This enhancement is particularly useful in mobile IAB cases, considering the served UEs are handed over together with the mobile node. After the mobile HO, the sudden UL traffic from served UEs will consume the BH link resources between the mobile IAB-node and its parent node. Potential UL congestion mitigation requires more granular feedback information per BH RLC and/or per routing ID. It will help the mobile IAB to control the UL transmission at each BH RLC/routing ID level, rather than just throttling the traffic per BH link level based on the scheduled UL grant.</w:t>
      </w:r>
    </w:p>
    <w:p w14:paraId="35476313" w14:textId="3D784FF7" w:rsidR="0063004D" w:rsidRPr="0063004D" w:rsidRDefault="0063004D" w:rsidP="0063004D">
      <w:pPr>
        <w:rPr>
          <w:rFonts w:eastAsia="宋体"/>
          <w:b/>
          <w:lang w:eastAsia="zh-CN"/>
        </w:rPr>
      </w:pPr>
      <w:r w:rsidRPr="0063004D">
        <w:rPr>
          <w:rFonts w:eastAsia="宋体"/>
          <w:b/>
          <w:lang w:eastAsia="zh-CN"/>
        </w:rPr>
        <w:t xml:space="preserve">Observation </w:t>
      </w:r>
      <w:r w:rsidR="00DD1C23">
        <w:rPr>
          <w:rFonts w:eastAsia="宋体"/>
          <w:b/>
          <w:lang w:eastAsia="zh-CN"/>
        </w:rPr>
        <w:t>7</w:t>
      </w:r>
      <w:r w:rsidRPr="0063004D">
        <w:rPr>
          <w:rFonts w:eastAsia="宋体"/>
          <w:b/>
          <w:lang w:eastAsia="zh-CN"/>
        </w:rPr>
        <w:t>: The UL traffic burst from the mobile IAB-MT to its target parent IAB-node may cause UL congestion, due to the migration of a large number of served UEs together with the mobile IAB.</w:t>
      </w:r>
    </w:p>
    <w:p w14:paraId="0EB0A733" w14:textId="77777777" w:rsidR="0063004D" w:rsidRPr="0063004D" w:rsidRDefault="0063004D" w:rsidP="0063004D">
      <w:pPr>
        <w:rPr>
          <w:rFonts w:eastAsia="宋体"/>
          <w:lang w:eastAsia="zh-CN"/>
        </w:rPr>
      </w:pPr>
      <w:r w:rsidRPr="0063004D">
        <w:rPr>
          <w:rFonts w:eastAsia="宋体"/>
          <w:lang w:eastAsia="zh-CN"/>
        </w:rPr>
        <w:t>In addition, the spec impact is quite less, since the DL flow control BAP control PDU format can be reused.</w:t>
      </w:r>
    </w:p>
    <w:p w14:paraId="2A0AFF98" w14:textId="6BFC0A02" w:rsidR="0063004D" w:rsidRPr="0063004D" w:rsidRDefault="0063004D" w:rsidP="0063004D">
      <w:pPr>
        <w:rPr>
          <w:rFonts w:eastAsia="宋体"/>
          <w:b/>
          <w:lang w:eastAsia="zh-CN"/>
        </w:rPr>
      </w:pPr>
      <w:r w:rsidRPr="0063004D">
        <w:rPr>
          <w:rFonts w:eastAsia="宋体"/>
          <w:b/>
          <w:lang w:eastAsia="zh-CN"/>
        </w:rPr>
        <w:t xml:space="preserve">Observation </w:t>
      </w:r>
      <w:r w:rsidR="00DD1C23">
        <w:rPr>
          <w:rFonts w:eastAsia="宋体"/>
          <w:b/>
          <w:lang w:eastAsia="zh-CN"/>
        </w:rPr>
        <w:t>8</w:t>
      </w:r>
      <w:r w:rsidRPr="0063004D">
        <w:rPr>
          <w:rFonts w:eastAsia="宋体"/>
          <w:b/>
          <w:lang w:eastAsia="zh-CN"/>
        </w:rPr>
        <w:t xml:space="preserve">: Only a minor BAP spec update is needed to clarify that the legacy DL flow control BAP control PDU can be applied to UL. </w:t>
      </w:r>
    </w:p>
    <w:p w14:paraId="6871EC8F" w14:textId="660CBB23" w:rsidR="00C253A0" w:rsidRPr="0063004D" w:rsidRDefault="0063004D" w:rsidP="0063004D">
      <w:pPr>
        <w:rPr>
          <w:rFonts w:eastAsia="宋体"/>
          <w:b/>
          <w:lang w:eastAsia="zh-CN"/>
        </w:rPr>
      </w:pPr>
      <w:r w:rsidRPr="0063004D">
        <w:rPr>
          <w:rFonts w:eastAsia="宋体"/>
          <w:b/>
          <w:lang w:eastAsia="zh-CN"/>
        </w:rPr>
        <w:t xml:space="preserve">Proposal </w:t>
      </w:r>
      <w:r w:rsidR="00EE61AA">
        <w:rPr>
          <w:rFonts w:eastAsia="宋体"/>
          <w:b/>
          <w:lang w:eastAsia="zh-CN"/>
        </w:rPr>
        <w:t>6</w:t>
      </w:r>
      <w:r w:rsidRPr="0063004D">
        <w:rPr>
          <w:rFonts w:eastAsia="宋体"/>
          <w:b/>
          <w:lang w:eastAsia="zh-CN"/>
        </w:rPr>
        <w:t>: Consider to introduce the UL HbH flow control in R18.</w:t>
      </w:r>
    </w:p>
    <w:p w14:paraId="0B09F2FD" w14:textId="0EB064E0" w:rsidR="00150551" w:rsidRPr="00370856" w:rsidRDefault="00150551" w:rsidP="00150551">
      <w:pPr>
        <w:pStyle w:val="10"/>
        <w:rPr>
          <w:rFonts w:ascii="Times New Roman" w:eastAsia="宋体" w:hAnsi="Times New Roman"/>
        </w:rPr>
      </w:pPr>
      <w:r w:rsidRPr="00370856">
        <w:rPr>
          <w:rFonts w:ascii="Times New Roman" w:eastAsia="宋体" w:hAnsi="Times New Roman"/>
        </w:rPr>
        <w:t>3 Conclusion</w:t>
      </w:r>
    </w:p>
    <w:p w14:paraId="382D0BF2" w14:textId="2D07972A" w:rsidR="00150551" w:rsidRPr="00370856" w:rsidRDefault="00150551" w:rsidP="00150551">
      <w:pPr>
        <w:rPr>
          <w:lang w:val="x-none"/>
        </w:rPr>
      </w:pPr>
      <w:r w:rsidRPr="00370856">
        <w:t>This paper mainly discusses</w:t>
      </w:r>
      <w:r w:rsidR="004E0638" w:rsidRPr="00370856">
        <w:t xml:space="preserve"> </w:t>
      </w:r>
      <w:r w:rsidR="00EE61AA" w:rsidRPr="00370856">
        <w:t xml:space="preserve">the remaining issues of </w:t>
      </w:r>
      <w:r w:rsidR="00EE61AA" w:rsidRPr="00370856">
        <w:rPr>
          <w:rFonts w:eastAsia="Symbol"/>
        </w:rPr>
        <w:t>full migration and interference mitigation</w:t>
      </w:r>
      <w:r w:rsidR="00EE61AA" w:rsidRPr="00370856">
        <w:t xml:space="preserve"> for mobile IAB</w:t>
      </w:r>
      <w:r w:rsidRPr="00370856">
        <w:rPr>
          <w:lang w:val="x-none"/>
        </w:rPr>
        <w:t xml:space="preserve">, </w:t>
      </w:r>
      <w:r w:rsidR="00460B5A" w:rsidRPr="00370856">
        <w:rPr>
          <w:lang w:val="x-none"/>
        </w:rPr>
        <w:t>and</w:t>
      </w:r>
      <w:r w:rsidRPr="00370856">
        <w:rPr>
          <w:lang w:val="x-none"/>
        </w:rPr>
        <w:t xml:space="preserve"> we provide the following observations and proposals:</w:t>
      </w:r>
    </w:p>
    <w:p w14:paraId="645C38C2" w14:textId="77777777" w:rsidR="00A766B0" w:rsidRDefault="00A766B0" w:rsidP="00A766B0">
      <w:pPr>
        <w:rPr>
          <w:b/>
        </w:rPr>
      </w:pPr>
      <w:r w:rsidRPr="00CA6E2C">
        <w:rPr>
          <w:b/>
        </w:rPr>
        <w:t>Observation</w:t>
      </w:r>
      <w:r>
        <w:rPr>
          <w:b/>
        </w:rPr>
        <w:t xml:space="preserve"> 1</w:t>
      </w:r>
      <w:r w:rsidRPr="00CA6E2C">
        <w:rPr>
          <w:b/>
        </w:rPr>
        <w:t>: The legacy A</w:t>
      </w:r>
      <w:r>
        <w:rPr>
          <w:b/>
        </w:rPr>
        <w:t xml:space="preserve">NR solution/CU coordination may not be sufficient/timely when </w:t>
      </w:r>
      <w:r w:rsidRPr="00CA6E2C">
        <w:rPr>
          <w:b/>
        </w:rPr>
        <w:t>two mobile IAB nodes move into the same area</w:t>
      </w:r>
      <w:r>
        <w:rPr>
          <w:b/>
        </w:rPr>
        <w:t xml:space="preserve"> fast</w:t>
      </w:r>
      <w:r w:rsidRPr="00CA6E2C">
        <w:rPr>
          <w:b/>
        </w:rPr>
        <w:t xml:space="preserve">, which may result in PCI </w:t>
      </w:r>
      <w:r>
        <w:rPr>
          <w:b/>
        </w:rPr>
        <w:t>collision</w:t>
      </w:r>
      <w:r w:rsidRPr="00CA6E2C">
        <w:rPr>
          <w:b/>
        </w:rPr>
        <w:t xml:space="preserve"> between the two mobile IAB nodes.</w:t>
      </w:r>
    </w:p>
    <w:p w14:paraId="40FA44EA" w14:textId="77777777" w:rsidR="00A766B0" w:rsidRPr="00414948" w:rsidRDefault="00A766B0" w:rsidP="00A766B0">
      <w:pPr>
        <w:rPr>
          <w:b/>
        </w:rPr>
      </w:pPr>
      <w:r w:rsidRPr="00A759BA">
        <w:rPr>
          <w:b/>
        </w:rPr>
        <w:t xml:space="preserve">Observation </w:t>
      </w:r>
      <w:r>
        <w:rPr>
          <w:b/>
        </w:rPr>
        <w:t>2</w:t>
      </w:r>
      <w:r w:rsidRPr="00414948">
        <w:rPr>
          <w:b/>
        </w:rPr>
        <w:t xml:space="preserve">: UE may not be able to detect the PCI collision, </w:t>
      </w:r>
      <w:r>
        <w:rPr>
          <w:b/>
        </w:rPr>
        <w:t>in case of</w:t>
      </w:r>
      <w:r w:rsidRPr="00414948">
        <w:rPr>
          <w:b/>
        </w:rPr>
        <w:t xml:space="preserve"> two intra-frequency cells with </w:t>
      </w:r>
      <w:r>
        <w:rPr>
          <w:b/>
        </w:rPr>
        <w:t xml:space="preserve">the </w:t>
      </w:r>
      <w:r w:rsidRPr="00414948">
        <w:rPr>
          <w:b/>
        </w:rPr>
        <w:t>same PCI (e.g.</w:t>
      </w:r>
      <w:r>
        <w:rPr>
          <w:b/>
        </w:rPr>
        <w:t>,</w:t>
      </w:r>
      <w:r w:rsidRPr="00414948">
        <w:rPr>
          <w:b/>
        </w:rPr>
        <w:t xml:space="preserve"> not being able to decode the MIB</w:t>
      </w:r>
      <w:r>
        <w:rPr>
          <w:b/>
        </w:rPr>
        <w:t xml:space="preserve"> due to interference</w:t>
      </w:r>
      <w:r w:rsidRPr="00414948">
        <w:rPr>
          <w:b/>
        </w:rPr>
        <w:t>).</w:t>
      </w:r>
    </w:p>
    <w:p w14:paraId="0FCF0E6C" w14:textId="77777777" w:rsidR="00A766B0" w:rsidRDefault="00A766B0" w:rsidP="00A766B0">
      <w:pPr>
        <w:rPr>
          <w:rFonts w:eastAsia="宋体"/>
          <w:b/>
          <w:lang w:eastAsia="zh-CN"/>
        </w:rPr>
      </w:pPr>
      <w:r w:rsidRPr="00423818">
        <w:rPr>
          <w:rFonts w:eastAsia="宋体"/>
          <w:b/>
          <w:lang w:eastAsia="zh-CN"/>
        </w:rPr>
        <w:t xml:space="preserve">Observation </w:t>
      </w:r>
      <w:r>
        <w:rPr>
          <w:rFonts w:eastAsia="宋体"/>
          <w:b/>
          <w:lang w:eastAsia="zh-CN"/>
        </w:rPr>
        <w:t>3</w:t>
      </w:r>
      <w:r w:rsidRPr="00423818">
        <w:rPr>
          <w:rFonts w:eastAsia="宋体"/>
          <w:b/>
          <w:lang w:eastAsia="zh-CN"/>
        </w:rPr>
        <w:t>: RAN3 agreed “PCI-change on the IAB-node can be supported via handover of connected UEs between cells using old and new PCI, respectively.”</w:t>
      </w:r>
    </w:p>
    <w:p w14:paraId="79C930E0" w14:textId="77777777" w:rsidR="00A766B0" w:rsidRPr="00370856" w:rsidRDefault="00A766B0" w:rsidP="00A766B0">
      <w:pPr>
        <w:spacing w:beforeLines="50" w:before="120"/>
        <w:rPr>
          <w:rFonts w:eastAsia="宋体"/>
          <w:b/>
          <w:lang w:eastAsia="zh-CN"/>
        </w:rPr>
      </w:pPr>
      <w:r w:rsidRPr="00370856">
        <w:rPr>
          <w:rFonts w:eastAsia="宋体"/>
          <w:b/>
          <w:lang w:eastAsia="zh-CN"/>
        </w:rPr>
        <w:t xml:space="preserve">Observation </w:t>
      </w:r>
      <w:r>
        <w:rPr>
          <w:rFonts w:eastAsia="宋体"/>
          <w:b/>
          <w:lang w:eastAsia="zh-CN"/>
        </w:rPr>
        <w:t>4</w:t>
      </w:r>
      <w:r w:rsidRPr="00370856">
        <w:rPr>
          <w:rFonts w:eastAsia="宋体"/>
          <w:b/>
          <w:lang w:eastAsia="zh-CN"/>
        </w:rPr>
        <w:t>: For predictable limited mobility scenarios, static TAC can be implemented through OAM.</w:t>
      </w:r>
    </w:p>
    <w:p w14:paraId="5DC9279D" w14:textId="77777777" w:rsidR="00A766B0" w:rsidRPr="00370856" w:rsidRDefault="00A766B0" w:rsidP="00A766B0">
      <w:pPr>
        <w:spacing w:beforeLines="50" w:before="120"/>
        <w:rPr>
          <w:rFonts w:eastAsia="宋体"/>
          <w:b/>
          <w:lang w:eastAsia="zh-CN"/>
        </w:rPr>
      </w:pPr>
      <w:r w:rsidRPr="00370856">
        <w:rPr>
          <w:rFonts w:eastAsia="宋体"/>
          <w:b/>
          <w:lang w:eastAsia="zh-CN"/>
        </w:rPr>
        <w:lastRenderedPageBreak/>
        <w:t xml:space="preserve">Observation </w:t>
      </w:r>
      <w:r>
        <w:rPr>
          <w:rFonts w:eastAsia="宋体"/>
          <w:b/>
          <w:lang w:eastAsia="zh-CN"/>
        </w:rPr>
        <w:t>5</w:t>
      </w:r>
      <w:r w:rsidRPr="00370856">
        <w:rPr>
          <w:rFonts w:eastAsia="宋体"/>
          <w:b/>
          <w:lang w:eastAsia="zh-CN"/>
        </w:rPr>
        <w:t>: For general scenarios, static TAC has greater impacts on UE and network compared with changeable TAC.</w:t>
      </w:r>
    </w:p>
    <w:p w14:paraId="684E9406" w14:textId="77777777" w:rsidR="003F5566" w:rsidRPr="00370856" w:rsidRDefault="003F5566" w:rsidP="003F5566">
      <w:pPr>
        <w:spacing w:beforeLines="50" w:before="120"/>
        <w:rPr>
          <w:rFonts w:eastAsia="宋体"/>
          <w:b/>
          <w:lang w:eastAsia="zh-CN"/>
        </w:rPr>
      </w:pPr>
      <w:r w:rsidRPr="00370856">
        <w:rPr>
          <w:rFonts w:eastAsia="宋体"/>
          <w:b/>
          <w:lang w:eastAsia="zh-CN"/>
        </w:rPr>
        <w:t xml:space="preserve">Observation </w:t>
      </w:r>
      <w:r>
        <w:rPr>
          <w:rFonts w:eastAsia="宋体"/>
          <w:b/>
          <w:lang w:eastAsia="zh-CN"/>
        </w:rPr>
        <w:t>6</w:t>
      </w:r>
      <w:r w:rsidRPr="00370856">
        <w:rPr>
          <w:rFonts w:eastAsia="宋体"/>
          <w:b/>
          <w:lang w:eastAsia="zh-CN"/>
        </w:rPr>
        <w:t>: Static RANAC has a greater impact on UE and RAN</w:t>
      </w:r>
      <w:r>
        <w:rPr>
          <w:rFonts w:eastAsia="宋体"/>
          <w:b/>
          <w:lang w:eastAsia="zh-CN"/>
        </w:rPr>
        <w:t xml:space="preserve"> than</w:t>
      </w:r>
      <w:r w:rsidRPr="00370856">
        <w:rPr>
          <w:rFonts w:eastAsia="宋体"/>
          <w:b/>
          <w:lang w:eastAsia="zh-CN"/>
        </w:rPr>
        <w:t xml:space="preserve"> changeable RANAC.</w:t>
      </w:r>
    </w:p>
    <w:p w14:paraId="096839AE" w14:textId="77777777" w:rsidR="009034B5" w:rsidRPr="0063004D" w:rsidRDefault="009034B5" w:rsidP="009034B5">
      <w:pPr>
        <w:rPr>
          <w:rFonts w:eastAsia="宋体"/>
          <w:b/>
          <w:lang w:eastAsia="zh-CN"/>
        </w:rPr>
      </w:pPr>
      <w:r w:rsidRPr="0063004D">
        <w:rPr>
          <w:rFonts w:eastAsia="宋体"/>
          <w:b/>
          <w:lang w:eastAsia="zh-CN"/>
        </w:rPr>
        <w:t xml:space="preserve">Observation </w:t>
      </w:r>
      <w:r>
        <w:rPr>
          <w:rFonts w:eastAsia="宋体"/>
          <w:b/>
          <w:lang w:eastAsia="zh-CN"/>
        </w:rPr>
        <w:t>7</w:t>
      </w:r>
      <w:r w:rsidRPr="0063004D">
        <w:rPr>
          <w:rFonts w:eastAsia="宋体"/>
          <w:b/>
          <w:lang w:eastAsia="zh-CN"/>
        </w:rPr>
        <w:t>: The UL traffic burst from the mobile IAB-MT to its target parent IAB-node may cause UL congestion, due to the migration of a large number of served UEs together with the mobile IAB.</w:t>
      </w:r>
    </w:p>
    <w:p w14:paraId="7E797829" w14:textId="77777777" w:rsidR="009034B5" w:rsidRPr="0063004D" w:rsidRDefault="009034B5" w:rsidP="009034B5">
      <w:pPr>
        <w:rPr>
          <w:rFonts w:eastAsia="宋体"/>
          <w:b/>
          <w:lang w:eastAsia="zh-CN"/>
        </w:rPr>
      </w:pPr>
      <w:r w:rsidRPr="0063004D">
        <w:rPr>
          <w:rFonts w:eastAsia="宋体"/>
          <w:b/>
          <w:lang w:eastAsia="zh-CN"/>
        </w:rPr>
        <w:t xml:space="preserve">Observation </w:t>
      </w:r>
      <w:r>
        <w:rPr>
          <w:rFonts w:eastAsia="宋体"/>
          <w:b/>
          <w:lang w:eastAsia="zh-CN"/>
        </w:rPr>
        <w:t>8</w:t>
      </w:r>
      <w:r w:rsidRPr="0063004D">
        <w:rPr>
          <w:rFonts w:eastAsia="宋体"/>
          <w:b/>
          <w:lang w:eastAsia="zh-CN"/>
        </w:rPr>
        <w:t xml:space="preserve">: Only a minor BAP spec update is needed to clarify that the legacy DL flow control BAP control PDU can be applied to UL. </w:t>
      </w:r>
    </w:p>
    <w:p w14:paraId="57D14F97" w14:textId="31A7AE28" w:rsidR="009665C4" w:rsidRPr="003570E8" w:rsidRDefault="00305795" w:rsidP="009665C4">
      <w:pPr>
        <w:rPr>
          <w:b/>
          <w:i/>
          <w:color w:val="00B0F0"/>
        </w:rPr>
      </w:pPr>
      <w:r w:rsidRPr="003570E8">
        <w:rPr>
          <w:rFonts w:eastAsia="宋体"/>
          <w:i/>
          <w:color w:val="00B0F0"/>
          <w:lang w:eastAsia="zh-CN"/>
        </w:rPr>
        <w:t>BAP issues in full/DU migration</w:t>
      </w:r>
    </w:p>
    <w:p w14:paraId="1B8702B2" w14:textId="77777777" w:rsidR="00A766B0" w:rsidRDefault="00A766B0" w:rsidP="00A766B0">
      <w:pPr>
        <w:rPr>
          <w:b/>
        </w:rPr>
      </w:pPr>
      <w:r>
        <w:rPr>
          <w:b/>
        </w:rPr>
        <w:t>Proposal 1</w:t>
      </w:r>
      <w:r w:rsidRPr="004B55B7">
        <w:rPr>
          <w:b/>
        </w:rPr>
        <w:t>: RAN2 to discuss the BAP impacts by using the two logical DUs in full</w:t>
      </w:r>
      <w:r>
        <w:rPr>
          <w:b/>
        </w:rPr>
        <w:t>/DU</w:t>
      </w:r>
      <w:r w:rsidRPr="004B55B7">
        <w:rPr>
          <w:b/>
        </w:rPr>
        <w:t xml:space="preserve"> migration</w:t>
      </w:r>
      <w:r>
        <w:rPr>
          <w:b/>
        </w:rPr>
        <w:t xml:space="preserve"> of mobile IAB</w:t>
      </w:r>
      <w:r w:rsidRPr="004B55B7">
        <w:rPr>
          <w:b/>
        </w:rPr>
        <w:t>:</w:t>
      </w:r>
    </w:p>
    <w:p w14:paraId="257F3471" w14:textId="77777777" w:rsidR="00A766B0" w:rsidRPr="002063BE" w:rsidRDefault="00A766B0" w:rsidP="00A766B0">
      <w:pPr>
        <w:pStyle w:val="af9"/>
        <w:numPr>
          <w:ilvl w:val="0"/>
          <w:numId w:val="25"/>
        </w:numPr>
        <w:ind w:firstLineChars="0"/>
        <w:rPr>
          <w:b/>
        </w:rPr>
      </w:pPr>
      <w:r w:rsidRPr="002063BE">
        <w:rPr>
          <w:b/>
        </w:rPr>
        <w:t xml:space="preserve">Whether the two logical DUs share the same </w:t>
      </w:r>
      <w:r>
        <w:rPr>
          <w:b/>
        </w:rPr>
        <w:t>“</w:t>
      </w:r>
      <w:r w:rsidRPr="002063BE">
        <w:rPr>
          <w:b/>
        </w:rPr>
        <w:t xml:space="preserve">BAP configuration </w:t>
      </w:r>
      <w:r>
        <w:rPr>
          <w:b/>
        </w:rPr>
        <w:t>of</w:t>
      </w:r>
      <w:r w:rsidRPr="002063BE">
        <w:rPr>
          <w:b/>
        </w:rPr>
        <w:t xml:space="preserve"> IAB-MT side</w:t>
      </w:r>
      <w:r>
        <w:rPr>
          <w:b/>
        </w:rPr>
        <w:t>”</w:t>
      </w:r>
      <w:r w:rsidRPr="002063BE">
        <w:rPr>
          <w:b/>
        </w:rPr>
        <w:t xml:space="preserve">, including the RRC configured and F1AP configured BAP configuration;  </w:t>
      </w:r>
    </w:p>
    <w:p w14:paraId="1C0B9B5C" w14:textId="77777777" w:rsidR="00A766B0" w:rsidRPr="002063BE" w:rsidRDefault="00A766B0" w:rsidP="00A766B0">
      <w:pPr>
        <w:pStyle w:val="af9"/>
        <w:numPr>
          <w:ilvl w:val="0"/>
          <w:numId w:val="25"/>
        </w:numPr>
        <w:ind w:firstLineChars="0"/>
        <w:rPr>
          <w:b/>
        </w:rPr>
      </w:pPr>
      <w:r w:rsidRPr="002063BE">
        <w:rPr>
          <w:b/>
        </w:rPr>
        <w:t xml:space="preserve">How the mobile IAB-MT </w:t>
      </w:r>
      <w:r>
        <w:rPr>
          <w:b/>
        </w:rPr>
        <w:t>determines the destination of</w:t>
      </w:r>
      <w:r w:rsidRPr="002063BE">
        <w:rPr>
          <w:b/>
        </w:rPr>
        <w:t xml:space="preserve"> </w:t>
      </w:r>
      <w:r>
        <w:rPr>
          <w:b/>
        </w:rPr>
        <w:t>a</w:t>
      </w:r>
      <w:r w:rsidRPr="002063BE">
        <w:rPr>
          <w:b/>
        </w:rPr>
        <w:t xml:space="preserve"> DL BAP data to the corresponding logical DU</w:t>
      </w:r>
      <w:r>
        <w:rPr>
          <w:b/>
        </w:rPr>
        <w:t xml:space="preserve"> (e.g., via BAP address or IP address etc.)</w:t>
      </w:r>
      <w:r w:rsidRPr="002063BE">
        <w:rPr>
          <w:b/>
        </w:rPr>
        <w:t>;</w:t>
      </w:r>
    </w:p>
    <w:p w14:paraId="6C584A4C" w14:textId="50BF2653" w:rsidR="00E456BF" w:rsidRPr="003570E8" w:rsidRDefault="00E456BF" w:rsidP="009665C4">
      <w:pPr>
        <w:rPr>
          <w:b/>
          <w:i/>
          <w:color w:val="00B0F0"/>
        </w:rPr>
      </w:pPr>
      <w:r>
        <w:rPr>
          <w:rFonts w:eastAsia="宋体"/>
          <w:i/>
          <w:color w:val="00B0F0"/>
          <w:lang w:eastAsia="zh-CN"/>
        </w:rPr>
        <w:t>PCI collision</w:t>
      </w:r>
    </w:p>
    <w:p w14:paraId="17E7547F" w14:textId="529FD5A1" w:rsidR="00A766B0" w:rsidRPr="00375BFF" w:rsidRDefault="00A766B0" w:rsidP="00A766B0">
      <w:pPr>
        <w:rPr>
          <w:b/>
        </w:rPr>
      </w:pPr>
      <w:r w:rsidRPr="00375BFF">
        <w:rPr>
          <w:b/>
        </w:rPr>
        <w:t>Proposal 2: In ANR feature, RAN2 to discuss the following handlings</w:t>
      </w:r>
      <w:r w:rsidR="001B2197">
        <w:rPr>
          <w:b/>
        </w:rPr>
        <w:t xml:space="preserve"> to avoid frequent </w:t>
      </w:r>
      <w:r w:rsidR="001B2197" w:rsidRPr="001B2197">
        <w:rPr>
          <w:b/>
        </w:rPr>
        <w:t>NCRT</w:t>
      </w:r>
      <w:r w:rsidR="001B2197" w:rsidRPr="001B2197">
        <w:rPr>
          <w:b/>
        </w:rPr>
        <w:t xml:space="preserve"> update</w:t>
      </w:r>
      <w:r w:rsidRPr="00375BFF">
        <w:rPr>
          <w:b/>
        </w:rPr>
        <w:t>, considering that the mobile IAB cell may appear or disappear from the neighbour very frequently:</w:t>
      </w:r>
    </w:p>
    <w:p w14:paraId="20A14BFA" w14:textId="77777777" w:rsidR="00A766B0" w:rsidRPr="00F831F8" w:rsidRDefault="00A766B0" w:rsidP="00A766B0">
      <w:pPr>
        <w:pStyle w:val="af9"/>
        <w:numPr>
          <w:ilvl w:val="0"/>
          <w:numId w:val="26"/>
        </w:numPr>
        <w:ind w:firstLineChars="0"/>
        <w:rPr>
          <w:b/>
        </w:rPr>
      </w:pPr>
      <w:r w:rsidRPr="00F831F8">
        <w:rPr>
          <w:b/>
        </w:rPr>
        <w:t>UE indicate</w:t>
      </w:r>
      <w:r>
        <w:rPr>
          <w:b/>
        </w:rPr>
        <w:t>s</w:t>
      </w:r>
      <w:r w:rsidRPr="00F831F8">
        <w:rPr>
          <w:b/>
        </w:rPr>
        <w:t xml:space="preserve"> whether a neighbour cell is</w:t>
      </w:r>
      <w:r>
        <w:rPr>
          <w:b/>
        </w:rPr>
        <w:t xml:space="preserve"> a</w:t>
      </w:r>
      <w:r w:rsidRPr="00F831F8">
        <w:rPr>
          <w:b/>
        </w:rPr>
        <w:t xml:space="preserve"> mobile IAB cell, or</w:t>
      </w:r>
    </w:p>
    <w:p w14:paraId="66EC865E" w14:textId="77777777" w:rsidR="00A766B0" w:rsidRPr="00F831F8" w:rsidRDefault="00A766B0" w:rsidP="00A766B0">
      <w:pPr>
        <w:pStyle w:val="af9"/>
        <w:numPr>
          <w:ilvl w:val="0"/>
          <w:numId w:val="26"/>
        </w:numPr>
        <w:ind w:firstLineChars="0"/>
        <w:rPr>
          <w:b/>
        </w:rPr>
      </w:pPr>
      <w:r w:rsidRPr="00F831F8">
        <w:rPr>
          <w:b/>
        </w:rPr>
        <w:t>UE just skip</w:t>
      </w:r>
      <w:r>
        <w:rPr>
          <w:b/>
        </w:rPr>
        <w:t>s</w:t>
      </w:r>
      <w:r w:rsidRPr="00F831F8">
        <w:rPr>
          <w:b/>
        </w:rPr>
        <w:t xml:space="preserve"> reporting the mobile-IAB cell.</w:t>
      </w:r>
    </w:p>
    <w:p w14:paraId="1E664C99" w14:textId="77777777" w:rsidR="00A766B0" w:rsidRPr="00A766B0" w:rsidRDefault="00A766B0" w:rsidP="00A766B0">
      <w:pPr>
        <w:rPr>
          <w:b/>
        </w:rPr>
      </w:pPr>
      <w:r w:rsidRPr="00A766B0">
        <w:rPr>
          <w:b/>
        </w:rPr>
        <w:t>Proposal 3: RAN2 to discuss whether to support the solution of PCI collision detection by IAB-MT.</w:t>
      </w:r>
    </w:p>
    <w:p w14:paraId="13C5982A" w14:textId="5A946E54" w:rsidR="00E456BF" w:rsidRPr="005920A8" w:rsidRDefault="00E456BF" w:rsidP="00E456BF">
      <w:pPr>
        <w:rPr>
          <w:b/>
          <w:i/>
          <w:color w:val="00B0F0"/>
        </w:rPr>
      </w:pPr>
      <w:r>
        <w:rPr>
          <w:rFonts w:eastAsia="宋体"/>
          <w:i/>
          <w:color w:val="00B0F0"/>
          <w:lang w:eastAsia="zh-CN"/>
        </w:rPr>
        <w:t>TAC/RAN</w:t>
      </w:r>
      <w:r w:rsidR="009A68B1">
        <w:rPr>
          <w:rFonts w:eastAsia="宋体"/>
          <w:i/>
          <w:color w:val="00B0F0"/>
          <w:lang w:eastAsia="zh-CN"/>
        </w:rPr>
        <w:t>A</w:t>
      </w:r>
      <w:r>
        <w:rPr>
          <w:rFonts w:eastAsia="宋体"/>
          <w:i/>
          <w:color w:val="00B0F0"/>
          <w:lang w:eastAsia="zh-CN"/>
        </w:rPr>
        <w:t>C</w:t>
      </w:r>
    </w:p>
    <w:p w14:paraId="649B9CCC" w14:textId="77777777" w:rsidR="000220AC" w:rsidRPr="00684C87" w:rsidRDefault="000220AC" w:rsidP="000220AC">
      <w:pPr>
        <w:spacing w:beforeLines="50" w:before="120"/>
        <w:rPr>
          <w:rFonts w:eastAsia="宋体"/>
          <w:b/>
          <w:lang w:eastAsia="zh-CN"/>
        </w:rPr>
      </w:pPr>
      <w:r w:rsidRPr="00684C87">
        <w:rPr>
          <w:rFonts w:eastAsia="宋体"/>
          <w:b/>
          <w:lang w:eastAsia="zh-CN"/>
        </w:rPr>
        <w:t xml:space="preserve">Proposal 4: RAN2 confirm the SA2 TR conclusion: TAC broadcasted by mobile IAB is </w:t>
      </w:r>
      <w:r>
        <w:rPr>
          <w:rFonts w:eastAsia="宋体"/>
          <w:b/>
          <w:lang w:eastAsia="zh-CN"/>
        </w:rPr>
        <w:t xml:space="preserve">the </w:t>
      </w:r>
      <w:r w:rsidRPr="00684C87">
        <w:rPr>
          <w:rFonts w:eastAsia="宋体"/>
          <w:b/>
          <w:lang w:eastAsia="zh-CN"/>
        </w:rPr>
        <w:t>same as the TAC of mobile IAB-MT’s parent cell.</w:t>
      </w:r>
    </w:p>
    <w:p w14:paraId="110C4A27" w14:textId="77777777" w:rsidR="00F4792F" w:rsidRPr="00370856" w:rsidRDefault="00F4792F" w:rsidP="00F4792F">
      <w:pPr>
        <w:spacing w:beforeLines="50" w:before="120"/>
        <w:rPr>
          <w:rFonts w:eastAsia="宋体"/>
          <w:b/>
          <w:lang w:eastAsia="zh-CN"/>
        </w:rPr>
      </w:pPr>
      <w:r w:rsidRPr="00370856">
        <w:rPr>
          <w:rFonts w:eastAsia="宋体"/>
          <w:b/>
          <w:lang w:eastAsia="zh-CN"/>
        </w:rPr>
        <w:t xml:space="preserve">Proposal </w:t>
      </w:r>
      <w:r>
        <w:rPr>
          <w:rFonts w:eastAsia="宋体"/>
          <w:b/>
          <w:lang w:eastAsia="zh-CN"/>
        </w:rPr>
        <w:t>5</w:t>
      </w:r>
      <w:r w:rsidRPr="00370856">
        <w:rPr>
          <w:rFonts w:eastAsia="宋体"/>
          <w:b/>
          <w:lang w:eastAsia="zh-CN"/>
        </w:rPr>
        <w:t>: RAN</w:t>
      </w:r>
      <w:r>
        <w:rPr>
          <w:rFonts w:eastAsia="宋体"/>
          <w:b/>
          <w:lang w:eastAsia="zh-CN"/>
        </w:rPr>
        <w:t>2</w:t>
      </w:r>
      <w:r w:rsidRPr="00370856">
        <w:rPr>
          <w:rFonts w:eastAsia="宋体"/>
          <w:b/>
          <w:lang w:eastAsia="zh-CN"/>
        </w:rPr>
        <w:t xml:space="preserve"> to discuss the following options for RANAC updates,</w:t>
      </w:r>
    </w:p>
    <w:p w14:paraId="1F856747" w14:textId="7DF7F332" w:rsidR="00F4792F" w:rsidRPr="00370856" w:rsidRDefault="00F4792F" w:rsidP="00F4792F">
      <w:pPr>
        <w:pStyle w:val="af9"/>
        <w:numPr>
          <w:ilvl w:val="0"/>
          <w:numId w:val="22"/>
        </w:numPr>
        <w:spacing w:beforeLines="50" w:before="120"/>
        <w:ind w:firstLineChars="0"/>
        <w:rPr>
          <w:rFonts w:eastAsia="宋体"/>
          <w:b/>
          <w:lang w:eastAsia="zh-CN"/>
        </w:rPr>
      </w:pPr>
      <w:r w:rsidRPr="00370856">
        <w:rPr>
          <w:rFonts w:eastAsia="宋体"/>
          <w:b/>
          <w:lang w:eastAsia="zh-CN"/>
        </w:rPr>
        <w:t>Option</w:t>
      </w:r>
      <w:r w:rsidR="00D16DC4">
        <w:rPr>
          <w:rFonts w:eastAsia="宋体"/>
          <w:b/>
          <w:lang w:eastAsia="zh-CN"/>
        </w:rPr>
        <w:t xml:space="preserve"> </w:t>
      </w:r>
      <w:r w:rsidRPr="00370856">
        <w:rPr>
          <w:rFonts w:eastAsia="宋体"/>
          <w:b/>
          <w:lang w:eastAsia="zh-CN"/>
        </w:rPr>
        <w:t>1:</w:t>
      </w:r>
      <w:r w:rsidRPr="00370856">
        <w:t xml:space="preserve"> </w:t>
      </w:r>
      <w:r w:rsidRPr="00370856">
        <w:rPr>
          <w:rFonts w:eastAsia="宋体"/>
          <w:b/>
          <w:lang w:eastAsia="zh-CN"/>
        </w:rPr>
        <w:t>The RANAC broadcast</w:t>
      </w:r>
      <w:r>
        <w:rPr>
          <w:rFonts w:eastAsia="宋体"/>
          <w:b/>
          <w:lang w:eastAsia="zh-CN"/>
        </w:rPr>
        <w:t>ed</w:t>
      </w:r>
      <w:r w:rsidRPr="00370856">
        <w:rPr>
          <w:rFonts w:eastAsia="宋体"/>
          <w:b/>
          <w:lang w:eastAsia="zh-CN"/>
        </w:rPr>
        <w:t xml:space="preserve"> by the mobile IAB-cell is the same as the RANAC of the mobile IAB-MT’s parent cell.</w:t>
      </w:r>
    </w:p>
    <w:p w14:paraId="5BD7CF9B" w14:textId="2C39BC27" w:rsidR="00F4792F" w:rsidRPr="00370856" w:rsidRDefault="00F4792F" w:rsidP="00F4792F">
      <w:pPr>
        <w:pStyle w:val="af9"/>
        <w:numPr>
          <w:ilvl w:val="0"/>
          <w:numId w:val="22"/>
        </w:numPr>
        <w:spacing w:beforeLines="50" w:before="120"/>
        <w:ind w:firstLineChars="0"/>
        <w:rPr>
          <w:rFonts w:eastAsia="宋体"/>
          <w:b/>
          <w:lang w:eastAsia="zh-CN"/>
        </w:rPr>
      </w:pPr>
      <w:r w:rsidRPr="00370856">
        <w:rPr>
          <w:rFonts w:eastAsia="宋体"/>
          <w:b/>
          <w:lang w:eastAsia="zh-CN"/>
        </w:rPr>
        <w:t>Option</w:t>
      </w:r>
      <w:r w:rsidR="00D16DC4">
        <w:rPr>
          <w:rFonts w:eastAsia="宋体"/>
          <w:b/>
          <w:lang w:eastAsia="zh-CN"/>
        </w:rPr>
        <w:t xml:space="preserve"> </w:t>
      </w:r>
      <w:r w:rsidRPr="00370856">
        <w:rPr>
          <w:rFonts w:eastAsia="宋体"/>
          <w:b/>
          <w:lang w:eastAsia="zh-CN"/>
        </w:rPr>
        <w:t>2: The F1-terminating IAB-donor-CU determines when and how to change the RANAC of the mobile IAB cell.</w:t>
      </w:r>
      <w:r w:rsidRPr="00EE61AA">
        <w:t xml:space="preserve"> </w:t>
      </w:r>
      <w:r w:rsidRPr="00EE61AA">
        <w:rPr>
          <w:rFonts w:eastAsia="宋体"/>
          <w:b/>
          <w:lang w:eastAsia="zh-CN"/>
        </w:rPr>
        <w:t>Up to RAN3 to support F1AP signaling for RAN</w:t>
      </w:r>
      <w:r>
        <w:rPr>
          <w:rFonts w:eastAsia="宋体"/>
          <w:b/>
          <w:lang w:eastAsia="zh-CN"/>
        </w:rPr>
        <w:t>A</w:t>
      </w:r>
      <w:r w:rsidRPr="00EE61AA">
        <w:rPr>
          <w:rFonts w:eastAsia="宋体"/>
          <w:b/>
          <w:lang w:eastAsia="zh-CN"/>
        </w:rPr>
        <w:t>C update.</w:t>
      </w:r>
    </w:p>
    <w:p w14:paraId="1B8D0AB3" w14:textId="1818B569" w:rsidR="00E456BF" w:rsidRPr="003570E8" w:rsidRDefault="00E456BF" w:rsidP="009665C4">
      <w:pPr>
        <w:rPr>
          <w:b/>
          <w:i/>
          <w:color w:val="00B0F0"/>
        </w:rPr>
      </w:pPr>
      <w:r>
        <w:rPr>
          <w:rFonts w:eastAsia="宋体"/>
          <w:i/>
          <w:color w:val="00B0F0"/>
          <w:lang w:eastAsia="zh-CN"/>
        </w:rPr>
        <w:t>Others</w:t>
      </w:r>
    </w:p>
    <w:p w14:paraId="4F8539D9" w14:textId="77777777" w:rsidR="003F5566" w:rsidRPr="0063004D" w:rsidRDefault="003F5566" w:rsidP="003F5566">
      <w:pPr>
        <w:rPr>
          <w:rFonts w:eastAsia="宋体"/>
          <w:b/>
          <w:lang w:eastAsia="zh-CN"/>
        </w:rPr>
      </w:pPr>
      <w:r w:rsidRPr="0063004D">
        <w:rPr>
          <w:rFonts w:eastAsia="宋体"/>
          <w:b/>
          <w:lang w:eastAsia="zh-CN"/>
        </w:rPr>
        <w:t xml:space="preserve">Proposal </w:t>
      </w:r>
      <w:r>
        <w:rPr>
          <w:rFonts w:eastAsia="宋体"/>
          <w:b/>
          <w:lang w:eastAsia="zh-CN"/>
        </w:rPr>
        <w:t>6</w:t>
      </w:r>
      <w:r w:rsidRPr="0063004D">
        <w:rPr>
          <w:rFonts w:eastAsia="宋体"/>
          <w:b/>
          <w:lang w:eastAsia="zh-CN"/>
        </w:rPr>
        <w:t>: Consider to introduce the UL HbH flow control in R18.</w:t>
      </w:r>
    </w:p>
    <w:p w14:paraId="762393B1" w14:textId="7073146E" w:rsidR="005C19C0" w:rsidRPr="00370856" w:rsidRDefault="00F34B96" w:rsidP="005C19C0">
      <w:pPr>
        <w:pStyle w:val="10"/>
        <w:tabs>
          <w:tab w:val="num" w:pos="432"/>
        </w:tabs>
        <w:overflowPunct w:val="0"/>
        <w:autoSpaceDE w:val="0"/>
        <w:autoSpaceDN w:val="0"/>
        <w:adjustRightInd w:val="0"/>
        <w:ind w:left="432" w:hanging="432"/>
        <w:rPr>
          <w:rFonts w:ascii="Times New Roman" w:eastAsia="宋体" w:hAnsi="Times New Roman"/>
        </w:rPr>
      </w:pPr>
      <w:r w:rsidRPr="00370856">
        <w:rPr>
          <w:rFonts w:ascii="Times New Roman" w:hAnsi="Times New Roman"/>
        </w:rPr>
        <w:t xml:space="preserve">4 </w:t>
      </w:r>
      <w:r w:rsidR="005C19C0" w:rsidRPr="00370856">
        <w:rPr>
          <w:rFonts w:ascii="Times New Roman" w:hAnsi="Times New Roman"/>
        </w:rPr>
        <w:t>Reference</w:t>
      </w:r>
    </w:p>
    <w:p w14:paraId="4DE5DF31" w14:textId="3B441C7B" w:rsidR="005C19C0" w:rsidRPr="004D12DC" w:rsidRDefault="00F34B96" w:rsidP="00583F01">
      <w:pPr>
        <w:pStyle w:val="af9"/>
        <w:widowControl w:val="0"/>
        <w:numPr>
          <w:ilvl w:val="0"/>
          <w:numId w:val="13"/>
        </w:numPr>
        <w:overflowPunct/>
        <w:spacing w:after="0" w:line="360" w:lineRule="auto"/>
        <w:ind w:firstLineChars="0"/>
        <w:textAlignment w:val="auto"/>
        <w:rPr>
          <w:lang w:eastAsia="zh-CN"/>
        </w:rPr>
      </w:pPr>
      <w:bookmarkStart w:id="3" w:name="_Ref109308746"/>
      <w:bookmarkEnd w:id="0"/>
      <w:bookmarkEnd w:id="1"/>
      <w:r w:rsidRPr="00370856">
        <w:rPr>
          <w:lang w:eastAsia="zh-CN"/>
        </w:rPr>
        <w:t>Chairman notes of 3GPP TSG-RAN WG</w:t>
      </w:r>
      <w:r w:rsidR="008C7439">
        <w:rPr>
          <w:lang w:eastAsia="zh-CN"/>
        </w:rPr>
        <w:t>2</w:t>
      </w:r>
      <w:r w:rsidRPr="00370856">
        <w:rPr>
          <w:lang w:eastAsia="zh-CN"/>
        </w:rPr>
        <w:t xml:space="preserve"> meeting #11</w:t>
      </w:r>
      <w:r w:rsidR="008C7439">
        <w:rPr>
          <w:lang w:eastAsia="zh-CN"/>
        </w:rPr>
        <w:t>9</w:t>
      </w:r>
      <w:r w:rsidR="0089693C" w:rsidRPr="00370856">
        <w:rPr>
          <w:lang w:eastAsia="zh-CN"/>
        </w:rPr>
        <w:t>bis</w:t>
      </w:r>
      <w:r w:rsidRPr="00370856">
        <w:rPr>
          <w:lang w:eastAsia="zh-CN"/>
        </w:rPr>
        <w:t>-e.</w:t>
      </w:r>
      <w:bookmarkEnd w:id="3"/>
      <w:r w:rsidR="005C19C0" w:rsidRPr="00370856">
        <w:rPr>
          <w:szCs w:val="22"/>
          <w:lang w:val="x-none"/>
        </w:rPr>
        <w:t xml:space="preserve"> </w:t>
      </w:r>
    </w:p>
    <w:p w14:paraId="471CE5F1" w14:textId="6690C812" w:rsidR="004D12DC" w:rsidRPr="004D12DC" w:rsidRDefault="004D12DC" w:rsidP="004D12DC">
      <w:pPr>
        <w:pStyle w:val="af9"/>
        <w:widowControl w:val="0"/>
        <w:numPr>
          <w:ilvl w:val="0"/>
          <w:numId w:val="13"/>
        </w:numPr>
        <w:overflowPunct/>
        <w:spacing w:after="0" w:line="360" w:lineRule="auto"/>
        <w:ind w:firstLineChars="0"/>
        <w:textAlignment w:val="auto"/>
        <w:rPr>
          <w:lang w:eastAsia="zh-CN"/>
        </w:rPr>
      </w:pPr>
      <w:bookmarkStart w:id="4" w:name="_Ref114854755"/>
      <w:r w:rsidRPr="00375BFF">
        <w:rPr>
          <w:lang w:eastAsia="zh-CN"/>
        </w:rPr>
        <w:t>3GPP TS 38.300, NR; NR and NG-RAN Overall Description.</w:t>
      </w:r>
      <w:bookmarkEnd w:id="4"/>
    </w:p>
    <w:p w14:paraId="672EE8FB" w14:textId="701CE0D4" w:rsidR="00591C82" w:rsidRPr="00370856" w:rsidRDefault="00591C82" w:rsidP="00591C82">
      <w:pPr>
        <w:pStyle w:val="af9"/>
        <w:widowControl w:val="0"/>
        <w:numPr>
          <w:ilvl w:val="0"/>
          <w:numId w:val="13"/>
        </w:numPr>
        <w:overflowPunct/>
        <w:spacing w:after="0" w:line="360" w:lineRule="auto"/>
        <w:ind w:firstLineChars="0"/>
        <w:textAlignment w:val="auto"/>
        <w:rPr>
          <w:lang w:eastAsia="zh-CN"/>
        </w:rPr>
      </w:pPr>
      <w:bookmarkStart w:id="5" w:name="_Ref117590375"/>
      <w:r w:rsidRPr="00370856">
        <w:rPr>
          <w:lang w:eastAsia="zh-CN"/>
        </w:rPr>
        <w:t>Chairman notes of 3GPP TSG-RAN WG3 meeting #117</w:t>
      </w:r>
      <w:r w:rsidR="008C7439">
        <w:rPr>
          <w:lang w:eastAsia="zh-CN"/>
        </w:rPr>
        <w:t>bis</w:t>
      </w:r>
      <w:r w:rsidRPr="00370856">
        <w:rPr>
          <w:lang w:eastAsia="zh-CN"/>
        </w:rPr>
        <w:t>-e.</w:t>
      </w:r>
      <w:bookmarkEnd w:id="5"/>
      <w:r w:rsidRPr="00370856">
        <w:rPr>
          <w:szCs w:val="22"/>
          <w:lang w:val="x-none"/>
        </w:rPr>
        <w:t xml:space="preserve"> </w:t>
      </w:r>
    </w:p>
    <w:p w14:paraId="4B5B55F9" w14:textId="4391E0B6" w:rsidR="00837BD5" w:rsidRPr="00370856" w:rsidRDefault="00626A17" w:rsidP="00370856">
      <w:pPr>
        <w:pStyle w:val="af9"/>
        <w:widowControl w:val="0"/>
        <w:numPr>
          <w:ilvl w:val="0"/>
          <w:numId w:val="13"/>
        </w:numPr>
        <w:overflowPunct/>
        <w:spacing w:after="0" w:line="360" w:lineRule="auto"/>
        <w:ind w:firstLineChars="0"/>
        <w:textAlignment w:val="auto"/>
        <w:rPr>
          <w:lang w:eastAsia="zh-CN"/>
        </w:rPr>
      </w:pPr>
      <w:bookmarkStart w:id="6" w:name="_Ref117792033"/>
      <w:r w:rsidRPr="00370856">
        <w:rPr>
          <w:lang w:eastAsia="zh-CN"/>
        </w:rPr>
        <w:t>3GPP TR 23.700-05 V1.1.0,</w:t>
      </w:r>
      <w:r w:rsidRPr="00370856">
        <w:t xml:space="preserve"> </w:t>
      </w:r>
      <w:r w:rsidRPr="00370856">
        <w:rPr>
          <w:lang w:eastAsia="zh-CN"/>
        </w:rPr>
        <w:t>vehicle-mounted relays.</w:t>
      </w:r>
      <w:bookmarkEnd w:id="6"/>
    </w:p>
    <w:sectPr w:rsidR="00837BD5" w:rsidRPr="00370856" w:rsidSect="0037085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BF8A7" w14:textId="77777777" w:rsidR="005B5F04" w:rsidRDefault="005B5F04">
      <w:r>
        <w:separator/>
      </w:r>
    </w:p>
  </w:endnote>
  <w:endnote w:type="continuationSeparator" w:id="0">
    <w:p w14:paraId="4D16753B" w14:textId="77777777" w:rsidR="005B5F04" w:rsidRDefault="005B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Z@RBD38.tmp">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520AA" w14:textId="77777777" w:rsidR="005B5F04" w:rsidRDefault="005B5F04">
      <w:r>
        <w:separator/>
      </w:r>
    </w:p>
  </w:footnote>
  <w:footnote w:type="continuationSeparator" w:id="0">
    <w:p w14:paraId="29E63A19" w14:textId="77777777" w:rsidR="005B5F04" w:rsidRDefault="005B5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B4C30" w14:textId="77777777" w:rsidR="004E0638" w:rsidRDefault="004E0638">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1B3480"/>
    <w:multiLevelType w:val="hybridMultilevel"/>
    <w:tmpl w:val="86504B74"/>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6476DF"/>
    <w:multiLevelType w:val="hybridMultilevel"/>
    <w:tmpl w:val="5C08F4EE"/>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6B61D8D"/>
    <w:multiLevelType w:val="hybridMultilevel"/>
    <w:tmpl w:val="BB74DB52"/>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A4658D"/>
    <w:multiLevelType w:val="hybridMultilevel"/>
    <w:tmpl w:val="309887F4"/>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FA15C6"/>
    <w:multiLevelType w:val="hybridMultilevel"/>
    <w:tmpl w:val="2946DD50"/>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C215D9"/>
    <w:multiLevelType w:val="hybridMultilevel"/>
    <w:tmpl w:val="C13A45E6"/>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A796A20"/>
    <w:multiLevelType w:val="hybridMultilevel"/>
    <w:tmpl w:val="597A346A"/>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1A46749"/>
    <w:multiLevelType w:val="hybridMultilevel"/>
    <w:tmpl w:val="4CD4CFA6"/>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7D4180"/>
    <w:multiLevelType w:val="hybridMultilevel"/>
    <w:tmpl w:val="FCC81AAA"/>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5"/>
  </w:num>
  <w:num w:numId="4">
    <w:abstractNumId w:val="18"/>
  </w:num>
  <w:num w:numId="5">
    <w:abstractNumId w:val="0"/>
  </w:num>
  <w:num w:numId="6">
    <w:abstractNumId w:val="4"/>
  </w:num>
  <w:num w:numId="7">
    <w:abstractNumId w:val="13"/>
  </w:num>
  <w:num w:numId="8">
    <w:abstractNumId w:val="15"/>
  </w:num>
  <w:num w:numId="9">
    <w:abstractNumId w:val="9"/>
  </w:num>
  <w:num w:numId="10">
    <w:abstractNumId w:val="16"/>
  </w:num>
  <w:num w:numId="11">
    <w:abstractNumId w:val="19"/>
  </w:num>
  <w:num w:numId="12">
    <w:abstractNumId w:val="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num>
  <w:num w:numId="15">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
  </w:num>
  <w:num w:numId="18">
    <w:abstractNumId w:val="23"/>
  </w:num>
  <w:num w:numId="19">
    <w:abstractNumId w:val="12"/>
  </w:num>
  <w:num w:numId="20">
    <w:abstractNumId w:val="14"/>
  </w:num>
  <w:num w:numId="21">
    <w:abstractNumId w:val="10"/>
  </w:num>
  <w:num w:numId="22">
    <w:abstractNumId w:val="8"/>
  </w:num>
  <w:num w:numId="23">
    <w:abstractNumId w:val="6"/>
  </w:num>
  <w:num w:numId="24">
    <w:abstractNumId w:val="11"/>
  </w:num>
  <w:num w:numId="25">
    <w:abstractNumId w:val="20"/>
  </w:num>
  <w:num w:numId="26">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527"/>
    <w:rsid w:val="00010626"/>
    <w:rsid w:val="000110CA"/>
    <w:rsid w:val="00011393"/>
    <w:rsid w:val="00011674"/>
    <w:rsid w:val="000118F6"/>
    <w:rsid w:val="0001246D"/>
    <w:rsid w:val="000127C4"/>
    <w:rsid w:val="00013CB8"/>
    <w:rsid w:val="00013F54"/>
    <w:rsid w:val="00014693"/>
    <w:rsid w:val="00014E2C"/>
    <w:rsid w:val="00015330"/>
    <w:rsid w:val="0001565F"/>
    <w:rsid w:val="00015CD7"/>
    <w:rsid w:val="0001701A"/>
    <w:rsid w:val="000176F5"/>
    <w:rsid w:val="00017A5A"/>
    <w:rsid w:val="00017C43"/>
    <w:rsid w:val="000205C0"/>
    <w:rsid w:val="00020BFF"/>
    <w:rsid w:val="000220AC"/>
    <w:rsid w:val="000221DC"/>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AC1"/>
    <w:rsid w:val="00054CEB"/>
    <w:rsid w:val="00056910"/>
    <w:rsid w:val="00057F83"/>
    <w:rsid w:val="00060722"/>
    <w:rsid w:val="00061186"/>
    <w:rsid w:val="00061889"/>
    <w:rsid w:val="00061B84"/>
    <w:rsid w:val="000622D3"/>
    <w:rsid w:val="00062A3B"/>
    <w:rsid w:val="00064173"/>
    <w:rsid w:val="0006486E"/>
    <w:rsid w:val="000655EF"/>
    <w:rsid w:val="00066274"/>
    <w:rsid w:val="00070BB3"/>
    <w:rsid w:val="00070CDD"/>
    <w:rsid w:val="00070ECD"/>
    <w:rsid w:val="00072EDF"/>
    <w:rsid w:val="000737BB"/>
    <w:rsid w:val="00073C97"/>
    <w:rsid w:val="00074739"/>
    <w:rsid w:val="00074A39"/>
    <w:rsid w:val="00075247"/>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8769D"/>
    <w:rsid w:val="0009018C"/>
    <w:rsid w:val="00090818"/>
    <w:rsid w:val="000912E3"/>
    <w:rsid w:val="0009133E"/>
    <w:rsid w:val="00091874"/>
    <w:rsid w:val="000918C5"/>
    <w:rsid w:val="0009382F"/>
    <w:rsid w:val="00093E22"/>
    <w:rsid w:val="00094829"/>
    <w:rsid w:val="00095B88"/>
    <w:rsid w:val="0009762D"/>
    <w:rsid w:val="00097964"/>
    <w:rsid w:val="00097992"/>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D97"/>
    <w:rsid w:val="000C1E63"/>
    <w:rsid w:val="000C1F90"/>
    <w:rsid w:val="000C22AB"/>
    <w:rsid w:val="000C2908"/>
    <w:rsid w:val="000C3E8E"/>
    <w:rsid w:val="000C4244"/>
    <w:rsid w:val="000C42DD"/>
    <w:rsid w:val="000C4E93"/>
    <w:rsid w:val="000C6CBB"/>
    <w:rsid w:val="000C6D76"/>
    <w:rsid w:val="000C6E31"/>
    <w:rsid w:val="000C7168"/>
    <w:rsid w:val="000D0215"/>
    <w:rsid w:val="000D0344"/>
    <w:rsid w:val="000D043D"/>
    <w:rsid w:val="000D1440"/>
    <w:rsid w:val="000D2751"/>
    <w:rsid w:val="000D3B23"/>
    <w:rsid w:val="000D3FDD"/>
    <w:rsid w:val="000D468C"/>
    <w:rsid w:val="000D5B88"/>
    <w:rsid w:val="000D5EC9"/>
    <w:rsid w:val="000E02F8"/>
    <w:rsid w:val="000E03F5"/>
    <w:rsid w:val="000E13C9"/>
    <w:rsid w:val="000E1FA1"/>
    <w:rsid w:val="000E301C"/>
    <w:rsid w:val="000E305A"/>
    <w:rsid w:val="000E3370"/>
    <w:rsid w:val="000E33C3"/>
    <w:rsid w:val="000E42C4"/>
    <w:rsid w:val="000E4329"/>
    <w:rsid w:val="000E4DC6"/>
    <w:rsid w:val="000E558F"/>
    <w:rsid w:val="000E5717"/>
    <w:rsid w:val="000E5C17"/>
    <w:rsid w:val="000E71F2"/>
    <w:rsid w:val="000E7C81"/>
    <w:rsid w:val="000F00A7"/>
    <w:rsid w:val="000F025B"/>
    <w:rsid w:val="000F1FC4"/>
    <w:rsid w:val="000F2D41"/>
    <w:rsid w:val="000F3FC1"/>
    <w:rsid w:val="000F446E"/>
    <w:rsid w:val="000F5039"/>
    <w:rsid w:val="000F5047"/>
    <w:rsid w:val="000F5428"/>
    <w:rsid w:val="000F6174"/>
    <w:rsid w:val="000F6965"/>
    <w:rsid w:val="000F6BC8"/>
    <w:rsid w:val="000F6E6D"/>
    <w:rsid w:val="000F7A9D"/>
    <w:rsid w:val="000F7B91"/>
    <w:rsid w:val="00100151"/>
    <w:rsid w:val="00100609"/>
    <w:rsid w:val="00100BFE"/>
    <w:rsid w:val="00101C00"/>
    <w:rsid w:val="00101C0B"/>
    <w:rsid w:val="001024B9"/>
    <w:rsid w:val="00102680"/>
    <w:rsid w:val="001053B5"/>
    <w:rsid w:val="00106306"/>
    <w:rsid w:val="0010634F"/>
    <w:rsid w:val="00106C5D"/>
    <w:rsid w:val="001078A4"/>
    <w:rsid w:val="00107EFF"/>
    <w:rsid w:val="00107FF6"/>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C03"/>
    <w:rsid w:val="00117E84"/>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6892"/>
    <w:rsid w:val="00146F20"/>
    <w:rsid w:val="0014702E"/>
    <w:rsid w:val="00147999"/>
    <w:rsid w:val="00147C10"/>
    <w:rsid w:val="0015009A"/>
    <w:rsid w:val="00150551"/>
    <w:rsid w:val="0015093A"/>
    <w:rsid w:val="00150FD5"/>
    <w:rsid w:val="00152608"/>
    <w:rsid w:val="001551A2"/>
    <w:rsid w:val="0015526C"/>
    <w:rsid w:val="001555BD"/>
    <w:rsid w:val="00156B6D"/>
    <w:rsid w:val="00156BF8"/>
    <w:rsid w:val="00157372"/>
    <w:rsid w:val="0016006A"/>
    <w:rsid w:val="0016044E"/>
    <w:rsid w:val="00160C4A"/>
    <w:rsid w:val="00160DF5"/>
    <w:rsid w:val="001621BD"/>
    <w:rsid w:val="001636D5"/>
    <w:rsid w:val="00163EEC"/>
    <w:rsid w:val="00165014"/>
    <w:rsid w:val="001666EC"/>
    <w:rsid w:val="001679FD"/>
    <w:rsid w:val="0017100B"/>
    <w:rsid w:val="00171104"/>
    <w:rsid w:val="00171619"/>
    <w:rsid w:val="00171F68"/>
    <w:rsid w:val="0017283A"/>
    <w:rsid w:val="0017425F"/>
    <w:rsid w:val="00175F13"/>
    <w:rsid w:val="00176961"/>
    <w:rsid w:val="00177369"/>
    <w:rsid w:val="001775C4"/>
    <w:rsid w:val="001778DC"/>
    <w:rsid w:val="00177ED9"/>
    <w:rsid w:val="0018017B"/>
    <w:rsid w:val="001805B2"/>
    <w:rsid w:val="00180E75"/>
    <w:rsid w:val="00181069"/>
    <w:rsid w:val="00184EF7"/>
    <w:rsid w:val="00185A40"/>
    <w:rsid w:val="001860A0"/>
    <w:rsid w:val="0018685D"/>
    <w:rsid w:val="001871A8"/>
    <w:rsid w:val="00192266"/>
    <w:rsid w:val="0019227A"/>
    <w:rsid w:val="00194350"/>
    <w:rsid w:val="00194D63"/>
    <w:rsid w:val="00195650"/>
    <w:rsid w:val="001977C8"/>
    <w:rsid w:val="00197BD9"/>
    <w:rsid w:val="00197C7B"/>
    <w:rsid w:val="001A1693"/>
    <w:rsid w:val="001A1B88"/>
    <w:rsid w:val="001A1EE6"/>
    <w:rsid w:val="001A1F92"/>
    <w:rsid w:val="001A2382"/>
    <w:rsid w:val="001A2E8B"/>
    <w:rsid w:val="001A34F0"/>
    <w:rsid w:val="001A369A"/>
    <w:rsid w:val="001A38C1"/>
    <w:rsid w:val="001A3B51"/>
    <w:rsid w:val="001A5FBF"/>
    <w:rsid w:val="001A68F4"/>
    <w:rsid w:val="001A6CB0"/>
    <w:rsid w:val="001B0A32"/>
    <w:rsid w:val="001B1D9D"/>
    <w:rsid w:val="001B1FB4"/>
    <w:rsid w:val="001B2197"/>
    <w:rsid w:val="001B2FCB"/>
    <w:rsid w:val="001B3AFB"/>
    <w:rsid w:val="001B3D7B"/>
    <w:rsid w:val="001B415E"/>
    <w:rsid w:val="001B511A"/>
    <w:rsid w:val="001B57B0"/>
    <w:rsid w:val="001B6380"/>
    <w:rsid w:val="001B6CDE"/>
    <w:rsid w:val="001B7CA3"/>
    <w:rsid w:val="001B7EB1"/>
    <w:rsid w:val="001B7FC5"/>
    <w:rsid w:val="001C01AD"/>
    <w:rsid w:val="001C022C"/>
    <w:rsid w:val="001C111C"/>
    <w:rsid w:val="001C1982"/>
    <w:rsid w:val="001C201E"/>
    <w:rsid w:val="001C2AB9"/>
    <w:rsid w:val="001C2DD3"/>
    <w:rsid w:val="001C4A8B"/>
    <w:rsid w:val="001C50CF"/>
    <w:rsid w:val="001C59FD"/>
    <w:rsid w:val="001C5CFB"/>
    <w:rsid w:val="001C5D7E"/>
    <w:rsid w:val="001C5F62"/>
    <w:rsid w:val="001C6466"/>
    <w:rsid w:val="001C6FB6"/>
    <w:rsid w:val="001C7C30"/>
    <w:rsid w:val="001D02FE"/>
    <w:rsid w:val="001D0CFD"/>
    <w:rsid w:val="001D1842"/>
    <w:rsid w:val="001D1EAA"/>
    <w:rsid w:val="001D2965"/>
    <w:rsid w:val="001D4FA8"/>
    <w:rsid w:val="001D504E"/>
    <w:rsid w:val="001D6F72"/>
    <w:rsid w:val="001D711B"/>
    <w:rsid w:val="001D790B"/>
    <w:rsid w:val="001E0B57"/>
    <w:rsid w:val="001E0E99"/>
    <w:rsid w:val="001E129A"/>
    <w:rsid w:val="001E1A4D"/>
    <w:rsid w:val="001E1C63"/>
    <w:rsid w:val="001E25D7"/>
    <w:rsid w:val="001E2B4C"/>
    <w:rsid w:val="001E3038"/>
    <w:rsid w:val="001E35AF"/>
    <w:rsid w:val="001E3784"/>
    <w:rsid w:val="001E3953"/>
    <w:rsid w:val="001E41F3"/>
    <w:rsid w:val="001E485B"/>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5E96"/>
    <w:rsid w:val="001F6117"/>
    <w:rsid w:val="001F704D"/>
    <w:rsid w:val="001F7810"/>
    <w:rsid w:val="001F7A97"/>
    <w:rsid w:val="00200340"/>
    <w:rsid w:val="002010F1"/>
    <w:rsid w:val="0020116F"/>
    <w:rsid w:val="0020138F"/>
    <w:rsid w:val="002023A8"/>
    <w:rsid w:val="002023FE"/>
    <w:rsid w:val="0020312E"/>
    <w:rsid w:val="002042A1"/>
    <w:rsid w:val="002043B8"/>
    <w:rsid w:val="0020587A"/>
    <w:rsid w:val="00205B9C"/>
    <w:rsid w:val="00206268"/>
    <w:rsid w:val="002063BE"/>
    <w:rsid w:val="00206464"/>
    <w:rsid w:val="00206EF0"/>
    <w:rsid w:val="00207048"/>
    <w:rsid w:val="00207793"/>
    <w:rsid w:val="002107B2"/>
    <w:rsid w:val="0021160E"/>
    <w:rsid w:val="0021178B"/>
    <w:rsid w:val="00212651"/>
    <w:rsid w:val="002137D2"/>
    <w:rsid w:val="002140CA"/>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313BF"/>
    <w:rsid w:val="00231CA8"/>
    <w:rsid w:val="00231E54"/>
    <w:rsid w:val="002321E8"/>
    <w:rsid w:val="002322F7"/>
    <w:rsid w:val="002323C1"/>
    <w:rsid w:val="00232C78"/>
    <w:rsid w:val="00232E58"/>
    <w:rsid w:val="00232E93"/>
    <w:rsid w:val="002332C4"/>
    <w:rsid w:val="0023360F"/>
    <w:rsid w:val="00234668"/>
    <w:rsid w:val="00234F69"/>
    <w:rsid w:val="00235251"/>
    <w:rsid w:val="00235840"/>
    <w:rsid w:val="00235B4C"/>
    <w:rsid w:val="00236705"/>
    <w:rsid w:val="0023683D"/>
    <w:rsid w:val="00236AD5"/>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B20"/>
    <w:rsid w:val="0025022A"/>
    <w:rsid w:val="0025068A"/>
    <w:rsid w:val="00250854"/>
    <w:rsid w:val="0025123D"/>
    <w:rsid w:val="0025228F"/>
    <w:rsid w:val="002530BE"/>
    <w:rsid w:val="002536A1"/>
    <w:rsid w:val="00253E55"/>
    <w:rsid w:val="00254725"/>
    <w:rsid w:val="0025626B"/>
    <w:rsid w:val="00257195"/>
    <w:rsid w:val="002571BB"/>
    <w:rsid w:val="002578B0"/>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21E"/>
    <w:rsid w:val="00275D12"/>
    <w:rsid w:val="00276A31"/>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288"/>
    <w:rsid w:val="002A3934"/>
    <w:rsid w:val="002A398D"/>
    <w:rsid w:val="002A46AE"/>
    <w:rsid w:val="002A54C8"/>
    <w:rsid w:val="002A622D"/>
    <w:rsid w:val="002A6701"/>
    <w:rsid w:val="002A6B38"/>
    <w:rsid w:val="002A6FBE"/>
    <w:rsid w:val="002B0689"/>
    <w:rsid w:val="002B1C9E"/>
    <w:rsid w:val="002B1E85"/>
    <w:rsid w:val="002B2545"/>
    <w:rsid w:val="002B26A2"/>
    <w:rsid w:val="002B3654"/>
    <w:rsid w:val="002B3A99"/>
    <w:rsid w:val="002B4407"/>
    <w:rsid w:val="002B4A9F"/>
    <w:rsid w:val="002B565A"/>
    <w:rsid w:val="002B59FE"/>
    <w:rsid w:val="002B689A"/>
    <w:rsid w:val="002B7766"/>
    <w:rsid w:val="002C0977"/>
    <w:rsid w:val="002C24E5"/>
    <w:rsid w:val="002C285E"/>
    <w:rsid w:val="002C28CD"/>
    <w:rsid w:val="002C3F9C"/>
    <w:rsid w:val="002C4B87"/>
    <w:rsid w:val="002C4BB7"/>
    <w:rsid w:val="002C5758"/>
    <w:rsid w:val="002C5BCD"/>
    <w:rsid w:val="002C6326"/>
    <w:rsid w:val="002C63B6"/>
    <w:rsid w:val="002C7216"/>
    <w:rsid w:val="002C73CF"/>
    <w:rsid w:val="002C7B02"/>
    <w:rsid w:val="002D0FCA"/>
    <w:rsid w:val="002D171A"/>
    <w:rsid w:val="002D1B0B"/>
    <w:rsid w:val="002D1D19"/>
    <w:rsid w:val="002D24E0"/>
    <w:rsid w:val="002D2817"/>
    <w:rsid w:val="002D2931"/>
    <w:rsid w:val="002D2B06"/>
    <w:rsid w:val="002D32AD"/>
    <w:rsid w:val="002D33F1"/>
    <w:rsid w:val="002D3416"/>
    <w:rsid w:val="002D3445"/>
    <w:rsid w:val="002D36B6"/>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B27"/>
    <w:rsid w:val="002E2C3E"/>
    <w:rsid w:val="002E3EF6"/>
    <w:rsid w:val="002E4216"/>
    <w:rsid w:val="002E44F4"/>
    <w:rsid w:val="002E47A2"/>
    <w:rsid w:val="002E4C5F"/>
    <w:rsid w:val="002E4EE2"/>
    <w:rsid w:val="002E56C7"/>
    <w:rsid w:val="002E5A45"/>
    <w:rsid w:val="002E5E1A"/>
    <w:rsid w:val="002E71D9"/>
    <w:rsid w:val="002E74B9"/>
    <w:rsid w:val="002F03BC"/>
    <w:rsid w:val="002F144B"/>
    <w:rsid w:val="002F1E63"/>
    <w:rsid w:val="002F2315"/>
    <w:rsid w:val="002F26AC"/>
    <w:rsid w:val="002F33C7"/>
    <w:rsid w:val="002F4309"/>
    <w:rsid w:val="002F4657"/>
    <w:rsid w:val="002F4DA2"/>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4CEE"/>
    <w:rsid w:val="00305706"/>
    <w:rsid w:val="00305795"/>
    <w:rsid w:val="00305BD4"/>
    <w:rsid w:val="00305EE5"/>
    <w:rsid w:val="0030696B"/>
    <w:rsid w:val="0030727F"/>
    <w:rsid w:val="003079D9"/>
    <w:rsid w:val="00310AAF"/>
    <w:rsid w:val="00310F20"/>
    <w:rsid w:val="00311090"/>
    <w:rsid w:val="0031179C"/>
    <w:rsid w:val="003124A9"/>
    <w:rsid w:val="00312856"/>
    <w:rsid w:val="00312ADD"/>
    <w:rsid w:val="0031337E"/>
    <w:rsid w:val="0031543D"/>
    <w:rsid w:val="00315F2F"/>
    <w:rsid w:val="00316A0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792"/>
    <w:rsid w:val="00340812"/>
    <w:rsid w:val="00340FC5"/>
    <w:rsid w:val="00341115"/>
    <w:rsid w:val="00342A3B"/>
    <w:rsid w:val="00342E26"/>
    <w:rsid w:val="00342E9D"/>
    <w:rsid w:val="003436A3"/>
    <w:rsid w:val="00343FB8"/>
    <w:rsid w:val="003444AB"/>
    <w:rsid w:val="00344B82"/>
    <w:rsid w:val="003452B6"/>
    <w:rsid w:val="003457C2"/>
    <w:rsid w:val="00346560"/>
    <w:rsid w:val="00346577"/>
    <w:rsid w:val="00346DD1"/>
    <w:rsid w:val="0034701E"/>
    <w:rsid w:val="00347361"/>
    <w:rsid w:val="0035052F"/>
    <w:rsid w:val="00350A2E"/>
    <w:rsid w:val="00350A9F"/>
    <w:rsid w:val="00351711"/>
    <w:rsid w:val="00351B7B"/>
    <w:rsid w:val="00351BCD"/>
    <w:rsid w:val="00352774"/>
    <w:rsid w:val="00352A6B"/>
    <w:rsid w:val="00352B30"/>
    <w:rsid w:val="0035378A"/>
    <w:rsid w:val="003537A9"/>
    <w:rsid w:val="00353A10"/>
    <w:rsid w:val="003547C9"/>
    <w:rsid w:val="00355293"/>
    <w:rsid w:val="00355891"/>
    <w:rsid w:val="0035592E"/>
    <w:rsid w:val="00355E3A"/>
    <w:rsid w:val="00355E72"/>
    <w:rsid w:val="003561A9"/>
    <w:rsid w:val="003568FC"/>
    <w:rsid w:val="003570E8"/>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06C4"/>
    <w:rsid w:val="00370856"/>
    <w:rsid w:val="0037119B"/>
    <w:rsid w:val="003716D6"/>
    <w:rsid w:val="00371EED"/>
    <w:rsid w:val="00372A7D"/>
    <w:rsid w:val="003730DE"/>
    <w:rsid w:val="00373144"/>
    <w:rsid w:val="00373E10"/>
    <w:rsid w:val="003741C0"/>
    <w:rsid w:val="0037427C"/>
    <w:rsid w:val="0037569D"/>
    <w:rsid w:val="00375EEF"/>
    <w:rsid w:val="0037639E"/>
    <w:rsid w:val="003775FD"/>
    <w:rsid w:val="0038032D"/>
    <w:rsid w:val="00380EBB"/>
    <w:rsid w:val="003819DC"/>
    <w:rsid w:val="00381C0D"/>
    <w:rsid w:val="00381F6C"/>
    <w:rsid w:val="00382B41"/>
    <w:rsid w:val="00383583"/>
    <w:rsid w:val="00384193"/>
    <w:rsid w:val="00384EED"/>
    <w:rsid w:val="003851CE"/>
    <w:rsid w:val="003852F4"/>
    <w:rsid w:val="003857CF"/>
    <w:rsid w:val="0038586B"/>
    <w:rsid w:val="003862C3"/>
    <w:rsid w:val="00386F70"/>
    <w:rsid w:val="00387478"/>
    <w:rsid w:val="00387985"/>
    <w:rsid w:val="00390B19"/>
    <w:rsid w:val="00390EDA"/>
    <w:rsid w:val="003916BF"/>
    <w:rsid w:val="00391BE3"/>
    <w:rsid w:val="003923AD"/>
    <w:rsid w:val="00393AB1"/>
    <w:rsid w:val="00393C91"/>
    <w:rsid w:val="00393FA3"/>
    <w:rsid w:val="0039412B"/>
    <w:rsid w:val="00394CE1"/>
    <w:rsid w:val="00394CF5"/>
    <w:rsid w:val="0039604D"/>
    <w:rsid w:val="00396450"/>
    <w:rsid w:val="003977B1"/>
    <w:rsid w:val="003A2977"/>
    <w:rsid w:val="003A2B99"/>
    <w:rsid w:val="003A2DC0"/>
    <w:rsid w:val="003A2E9C"/>
    <w:rsid w:val="003A38B6"/>
    <w:rsid w:val="003A41E4"/>
    <w:rsid w:val="003A4FE1"/>
    <w:rsid w:val="003A549F"/>
    <w:rsid w:val="003A557A"/>
    <w:rsid w:val="003A5726"/>
    <w:rsid w:val="003A5B8B"/>
    <w:rsid w:val="003A6006"/>
    <w:rsid w:val="003A67E1"/>
    <w:rsid w:val="003A6D6C"/>
    <w:rsid w:val="003A754E"/>
    <w:rsid w:val="003B0C67"/>
    <w:rsid w:val="003B2C5E"/>
    <w:rsid w:val="003B3117"/>
    <w:rsid w:val="003B39D6"/>
    <w:rsid w:val="003B5800"/>
    <w:rsid w:val="003B5A40"/>
    <w:rsid w:val="003B7703"/>
    <w:rsid w:val="003B78B9"/>
    <w:rsid w:val="003B7C7F"/>
    <w:rsid w:val="003B7D4F"/>
    <w:rsid w:val="003B7D53"/>
    <w:rsid w:val="003C1312"/>
    <w:rsid w:val="003C1645"/>
    <w:rsid w:val="003C3310"/>
    <w:rsid w:val="003C4C53"/>
    <w:rsid w:val="003C61BC"/>
    <w:rsid w:val="003C6D51"/>
    <w:rsid w:val="003C7216"/>
    <w:rsid w:val="003C7845"/>
    <w:rsid w:val="003D0F1F"/>
    <w:rsid w:val="003D17A2"/>
    <w:rsid w:val="003D1A37"/>
    <w:rsid w:val="003D1E2B"/>
    <w:rsid w:val="003D23A1"/>
    <w:rsid w:val="003D3B12"/>
    <w:rsid w:val="003D3C5A"/>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5CD"/>
    <w:rsid w:val="003F27D5"/>
    <w:rsid w:val="003F2910"/>
    <w:rsid w:val="003F2930"/>
    <w:rsid w:val="003F450B"/>
    <w:rsid w:val="003F453D"/>
    <w:rsid w:val="003F5304"/>
    <w:rsid w:val="003F5516"/>
    <w:rsid w:val="003F5566"/>
    <w:rsid w:val="003F58A8"/>
    <w:rsid w:val="003F6A59"/>
    <w:rsid w:val="003F7C50"/>
    <w:rsid w:val="0040242D"/>
    <w:rsid w:val="00405A40"/>
    <w:rsid w:val="0040619E"/>
    <w:rsid w:val="0040734E"/>
    <w:rsid w:val="00407AFD"/>
    <w:rsid w:val="00407F9F"/>
    <w:rsid w:val="004122AC"/>
    <w:rsid w:val="004131D9"/>
    <w:rsid w:val="0041390E"/>
    <w:rsid w:val="00414BB3"/>
    <w:rsid w:val="00415956"/>
    <w:rsid w:val="00415963"/>
    <w:rsid w:val="00415BCF"/>
    <w:rsid w:val="00416306"/>
    <w:rsid w:val="0041669D"/>
    <w:rsid w:val="00416961"/>
    <w:rsid w:val="00416AC5"/>
    <w:rsid w:val="004178D1"/>
    <w:rsid w:val="004201F7"/>
    <w:rsid w:val="0042099A"/>
    <w:rsid w:val="00420A5D"/>
    <w:rsid w:val="00421EAB"/>
    <w:rsid w:val="00422F69"/>
    <w:rsid w:val="00423818"/>
    <w:rsid w:val="004253B9"/>
    <w:rsid w:val="0042735E"/>
    <w:rsid w:val="0043083B"/>
    <w:rsid w:val="00431E9D"/>
    <w:rsid w:val="00432019"/>
    <w:rsid w:val="00433E5E"/>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4983"/>
    <w:rsid w:val="00444AAF"/>
    <w:rsid w:val="00444F8C"/>
    <w:rsid w:val="004453C9"/>
    <w:rsid w:val="00445A1C"/>
    <w:rsid w:val="004466F2"/>
    <w:rsid w:val="0044674B"/>
    <w:rsid w:val="00446771"/>
    <w:rsid w:val="00446848"/>
    <w:rsid w:val="00450959"/>
    <w:rsid w:val="00450D4D"/>
    <w:rsid w:val="004534BF"/>
    <w:rsid w:val="00453767"/>
    <w:rsid w:val="00453897"/>
    <w:rsid w:val="004542C4"/>
    <w:rsid w:val="00454B84"/>
    <w:rsid w:val="004555BE"/>
    <w:rsid w:val="00455F90"/>
    <w:rsid w:val="004567A8"/>
    <w:rsid w:val="00456C35"/>
    <w:rsid w:val="00456EF9"/>
    <w:rsid w:val="00456FB2"/>
    <w:rsid w:val="00457E35"/>
    <w:rsid w:val="00457FE6"/>
    <w:rsid w:val="0046072B"/>
    <w:rsid w:val="004607BA"/>
    <w:rsid w:val="00460B5A"/>
    <w:rsid w:val="00460DFE"/>
    <w:rsid w:val="004612A8"/>
    <w:rsid w:val="00461BC9"/>
    <w:rsid w:val="00462325"/>
    <w:rsid w:val="0046249C"/>
    <w:rsid w:val="0046486C"/>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21E7"/>
    <w:rsid w:val="00492263"/>
    <w:rsid w:val="00492450"/>
    <w:rsid w:val="00492D7B"/>
    <w:rsid w:val="00492DD0"/>
    <w:rsid w:val="00492DE0"/>
    <w:rsid w:val="004938DF"/>
    <w:rsid w:val="00493A4F"/>
    <w:rsid w:val="00493D19"/>
    <w:rsid w:val="004943C9"/>
    <w:rsid w:val="00494876"/>
    <w:rsid w:val="00494A79"/>
    <w:rsid w:val="00494E96"/>
    <w:rsid w:val="00495A6C"/>
    <w:rsid w:val="00495B65"/>
    <w:rsid w:val="00496A9B"/>
    <w:rsid w:val="00497030"/>
    <w:rsid w:val="00497167"/>
    <w:rsid w:val="004972A4"/>
    <w:rsid w:val="00497F40"/>
    <w:rsid w:val="004A00B1"/>
    <w:rsid w:val="004A057E"/>
    <w:rsid w:val="004A0597"/>
    <w:rsid w:val="004A0657"/>
    <w:rsid w:val="004A1183"/>
    <w:rsid w:val="004A1824"/>
    <w:rsid w:val="004A244E"/>
    <w:rsid w:val="004A2817"/>
    <w:rsid w:val="004A2E6C"/>
    <w:rsid w:val="004A2EF8"/>
    <w:rsid w:val="004A35BF"/>
    <w:rsid w:val="004A3677"/>
    <w:rsid w:val="004A41CE"/>
    <w:rsid w:val="004A4422"/>
    <w:rsid w:val="004A49E9"/>
    <w:rsid w:val="004A4ADE"/>
    <w:rsid w:val="004A58B2"/>
    <w:rsid w:val="004A66C7"/>
    <w:rsid w:val="004A6700"/>
    <w:rsid w:val="004A6E92"/>
    <w:rsid w:val="004A715A"/>
    <w:rsid w:val="004A724B"/>
    <w:rsid w:val="004A7C06"/>
    <w:rsid w:val="004B171E"/>
    <w:rsid w:val="004B299E"/>
    <w:rsid w:val="004B3D21"/>
    <w:rsid w:val="004B4C38"/>
    <w:rsid w:val="004B52E1"/>
    <w:rsid w:val="004B5426"/>
    <w:rsid w:val="004B55B7"/>
    <w:rsid w:val="004B5622"/>
    <w:rsid w:val="004B7249"/>
    <w:rsid w:val="004B73E3"/>
    <w:rsid w:val="004B7988"/>
    <w:rsid w:val="004C1046"/>
    <w:rsid w:val="004C14E9"/>
    <w:rsid w:val="004C1DF2"/>
    <w:rsid w:val="004C1E9F"/>
    <w:rsid w:val="004C3296"/>
    <w:rsid w:val="004C3324"/>
    <w:rsid w:val="004C494A"/>
    <w:rsid w:val="004C49B4"/>
    <w:rsid w:val="004C4FA4"/>
    <w:rsid w:val="004C5480"/>
    <w:rsid w:val="004C5649"/>
    <w:rsid w:val="004C67F2"/>
    <w:rsid w:val="004C702B"/>
    <w:rsid w:val="004C7705"/>
    <w:rsid w:val="004D02C4"/>
    <w:rsid w:val="004D0597"/>
    <w:rsid w:val="004D12DC"/>
    <w:rsid w:val="004D1606"/>
    <w:rsid w:val="004D192C"/>
    <w:rsid w:val="004D221A"/>
    <w:rsid w:val="004D2430"/>
    <w:rsid w:val="004D244F"/>
    <w:rsid w:val="004D3457"/>
    <w:rsid w:val="004D34DB"/>
    <w:rsid w:val="004D39E5"/>
    <w:rsid w:val="004D3B38"/>
    <w:rsid w:val="004D5606"/>
    <w:rsid w:val="004D5C32"/>
    <w:rsid w:val="004D6157"/>
    <w:rsid w:val="004D65D7"/>
    <w:rsid w:val="004D679B"/>
    <w:rsid w:val="004E0638"/>
    <w:rsid w:val="004E118E"/>
    <w:rsid w:val="004E1D68"/>
    <w:rsid w:val="004E22D6"/>
    <w:rsid w:val="004E3126"/>
    <w:rsid w:val="004E3E66"/>
    <w:rsid w:val="004E52AD"/>
    <w:rsid w:val="004E61B7"/>
    <w:rsid w:val="004E6920"/>
    <w:rsid w:val="004E73AF"/>
    <w:rsid w:val="004E791F"/>
    <w:rsid w:val="004E7EAF"/>
    <w:rsid w:val="004F0D89"/>
    <w:rsid w:val="004F16C1"/>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4E5"/>
    <w:rsid w:val="00503992"/>
    <w:rsid w:val="00504ABB"/>
    <w:rsid w:val="00504E75"/>
    <w:rsid w:val="005058E9"/>
    <w:rsid w:val="00506CEC"/>
    <w:rsid w:val="00507108"/>
    <w:rsid w:val="005103E3"/>
    <w:rsid w:val="00510DB4"/>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2187"/>
    <w:rsid w:val="00522396"/>
    <w:rsid w:val="005223F3"/>
    <w:rsid w:val="00522A48"/>
    <w:rsid w:val="00522C27"/>
    <w:rsid w:val="00523857"/>
    <w:rsid w:val="00523B56"/>
    <w:rsid w:val="005242AC"/>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57B3"/>
    <w:rsid w:val="00536391"/>
    <w:rsid w:val="005365BE"/>
    <w:rsid w:val="005370F9"/>
    <w:rsid w:val="00537FEB"/>
    <w:rsid w:val="0054059A"/>
    <w:rsid w:val="00540ACE"/>
    <w:rsid w:val="00541256"/>
    <w:rsid w:val="0054251E"/>
    <w:rsid w:val="0054438E"/>
    <w:rsid w:val="0054507F"/>
    <w:rsid w:val="005456E5"/>
    <w:rsid w:val="00546EF4"/>
    <w:rsid w:val="0054785C"/>
    <w:rsid w:val="005479E6"/>
    <w:rsid w:val="00547C4D"/>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396"/>
    <w:rsid w:val="00575C14"/>
    <w:rsid w:val="00576B52"/>
    <w:rsid w:val="00577754"/>
    <w:rsid w:val="005779F4"/>
    <w:rsid w:val="0058102B"/>
    <w:rsid w:val="005831DD"/>
    <w:rsid w:val="00583D3F"/>
    <w:rsid w:val="00583F01"/>
    <w:rsid w:val="0058463A"/>
    <w:rsid w:val="0058472F"/>
    <w:rsid w:val="00584912"/>
    <w:rsid w:val="00586396"/>
    <w:rsid w:val="005865D8"/>
    <w:rsid w:val="00586DD7"/>
    <w:rsid w:val="00586F21"/>
    <w:rsid w:val="00587E59"/>
    <w:rsid w:val="00591B67"/>
    <w:rsid w:val="00591C82"/>
    <w:rsid w:val="00591F90"/>
    <w:rsid w:val="00592C71"/>
    <w:rsid w:val="00593412"/>
    <w:rsid w:val="005936AE"/>
    <w:rsid w:val="005936AF"/>
    <w:rsid w:val="00593CFF"/>
    <w:rsid w:val="005944E5"/>
    <w:rsid w:val="005948FA"/>
    <w:rsid w:val="00594AD5"/>
    <w:rsid w:val="0059611C"/>
    <w:rsid w:val="005A17C9"/>
    <w:rsid w:val="005A214D"/>
    <w:rsid w:val="005A2C0F"/>
    <w:rsid w:val="005A2E91"/>
    <w:rsid w:val="005A3E77"/>
    <w:rsid w:val="005A3FF2"/>
    <w:rsid w:val="005A5317"/>
    <w:rsid w:val="005A5B67"/>
    <w:rsid w:val="005A5B8B"/>
    <w:rsid w:val="005A6F63"/>
    <w:rsid w:val="005A77C6"/>
    <w:rsid w:val="005B0621"/>
    <w:rsid w:val="005B09F9"/>
    <w:rsid w:val="005B0B42"/>
    <w:rsid w:val="005B1268"/>
    <w:rsid w:val="005B142A"/>
    <w:rsid w:val="005B17C3"/>
    <w:rsid w:val="005B17D5"/>
    <w:rsid w:val="005B1AAA"/>
    <w:rsid w:val="005B1D5E"/>
    <w:rsid w:val="005B21D8"/>
    <w:rsid w:val="005B286F"/>
    <w:rsid w:val="005B288E"/>
    <w:rsid w:val="005B2E97"/>
    <w:rsid w:val="005B4A14"/>
    <w:rsid w:val="005B5098"/>
    <w:rsid w:val="005B5439"/>
    <w:rsid w:val="005B57AD"/>
    <w:rsid w:val="005B5F04"/>
    <w:rsid w:val="005B5F3C"/>
    <w:rsid w:val="005B662F"/>
    <w:rsid w:val="005B6B8B"/>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6A2"/>
    <w:rsid w:val="005D54EC"/>
    <w:rsid w:val="005D5A2E"/>
    <w:rsid w:val="005E0079"/>
    <w:rsid w:val="005E066C"/>
    <w:rsid w:val="005E1F09"/>
    <w:rsid w:val="005E23FE"/>
    <w:rsid w:val="005E2C44"/>
    <w:rsid w:val="005E300B"/>
    <w:rsid w:val="005E3280"/>
    <w:rsid w:val="005E39B7"/>
    <w:rsid w:val="005E5A4E"/>
    <w:rsid w:val="005E64D8"/>
    <w:rsid w:val="005E655E"/>
    <w:rsid w:val="005E70C7"/>
    <w:rsid w:val="005F0E08"/>
    <w:rsid w:val="005F1896"/>
    <w:rsid w:val="005F1C75"/>
    <w:rsid w:val="005F22F7"/>
    <w:rsid w:val="005F3FCB"/>
    <w:rsid w:val="005F40A0"/>
    <w:rsid w:val="005F48CD"/>
    <w:rsid w:val="005F6726"/>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1642C"/>
    <w:rsid w:val="00620216"/>
    <w:rsid w:val="006208D7"/>
    <w:rsid w:val="006209D5"/>
    <w:rsid w:val="00620B0F"/>
    <w:rsid w:val="00621361"/>
    <w:rsid w:val="00621B5F"/>
    <w:rsid w:val="00621D26"/>
    <w:rsid w:val="00622936"/>
    <w:rsid w:val="00623FA7"/>
    <w:rsid w:val="006246EF"/>
    <w:rsid w:val="00625940"/>
    <w:rsid w:val="00625CEF"/>
    <w:rsid w:val="00625D09"/>
    <w:rsid w:val="006263CC"/>
    <w:rsid w:val="00626A17"/>
    <w:rsid w:val="0062772E"/>
    <w:rsid w:val="00627890"/>
    <w:rsid w:val="00627CC7"/>
    <w:rsid w:val="00627D95"/>
    <w:rsid w:val="0063004D"/>
    <w:rsid w:val="00630165"/>
    <w:rsid w:val="006302A6"/>
    <w:rsid w:val="00630D2E"/>
    <w:rsid w:val="00631181"/>
    <w:rsid w:val="006316E3"/>
    <w:rsid w:val="00631F54"/>
    <w:rsid w:val="00633397"/>
    <w:rsid w:val="0063381B"/>
    <w:rsid w:val="0063389D"/>
    <w:rsid w:val="00633E5D"/>
    <w:rsid w:val="0063444C"/>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2BF"/>
    <w:rsid w:val="006726CB"/>
    <w:rsid w:val="006726F6"/>
    <w:rsid w:val="006734A8"/>
    <w:rsid w:val="00673B4E"/>
    <w:rsid w:val="00673E5A"/>
    <w:rsid w:val="00673F38"/>
    <w:rsid w:val="00674975"/>
    <w:rsid w:val="00674A87"/>
    <w:rsid w:val="00674B31"/>
    <w:rsid w:val="00675414"/>
    <w:rsid w:val="00675F22"/>
    <w:rsid w:val="006765FF"/>
    <w:rsid w:val="00681497"/>
    <w:rsid w:val="00681ED0"/>
    <w:rsid w:val="0068290D"/>
    <w:rsid w:val="00683590"/>
    <w:rsid w:val="00683A98"/>
    <w:rsid w:val="006841EE"/>
    <w:rsid w:val="0068422A"/>
    <w:rsid w:val="00684C87"/>
    <w:rsid w:val="00685289"/>
    <w:rsid w:val="006853A9"/>
    <w:rsid w:val="00685676"/>
    <w:rsid w:val="00685CB5"/>
    <w:rsid w:val="00685F02"/>
    <w:rsid w:val="0068764D"/>
    <w:rsid w:val="006906C2"/>
    <w:rsid w:val="00690D77"/>
    <w:rsid w:val="006918C7"/>
    <w:rsid w:val="0069236B"/>
    <w:rsid w:val="00692663"/>
    <w:rsid w:val="006926A0"/>
    <w:rsid w:val="00693A52"/>
    <w:rsid w:val="00694F02"/>
    <w:rsid w:val="00696285"/>
    <w:rsid w:val="006965BD"/>
    <w:rsid w:val="00697466"/>
    <w:rsid w:val="0069771E"/>
    <w:rsid w:val="00697D80"/>
    <w:rsid w:val="006A1731"/>
    <w:rsid w:val="006A173D"/>
    <w:rsid w:val="006A17FB"/>
    <w:rsid w:val="006A2D3E"/>
    <w:rsid w:val="006A2D7B"/>
    <w:rsid w:val="006A30C5"/>
    <w:rsid w:val="006A3C50"/>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F2"/>
    <w:rsid w:val="006C0BE2"/>
    <w:rsid w:val="006C0EE6"/>
    <w:rsid w:val="006C122B"/>
    <w:rsid w:val="006C29B2"/>
    <w:rsid w:val="006C33B9"/>
    <w:rsid w:val="006C366D"/>
    <w:rsid w:val="006C3747"/>
    <w:rsid w:val="006C3E60"/>
    <w:rsid w:val="006C4736"/>
    <w:rsid w:val="006C481F"/>
    <w:rsid w:val="006C62DC"/>
    <w:rsid w:val="006C6605"/>
    <w:rsid w:val="006C6E5E"/>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E0B36"/>
    <w:rsid w:val="006E0B67"/>
    <w:rsid w:val="006E0CB0"/>
    <w:rsid w:val="006E0DB9"/>
    <w:rsid w:val="006E1CA1"/>
    <w:rsid w:val="006E1E94"/>
    <w:rsid w:val="006E208E"/>
    <w:rsid w:val="006E21E4"/>
    <w:rsid w:val="006E3A1C"/>
    <w:rsid w:val="006E46B3"/>
    <w:rsid w:val="006E5374"/>
    <w:rsid w:val="006E59BA"/>
    <w:rsid w:val="006E63D5"/>
    <w:rsid w:val="006E7ABB"/>
    <w:rsid w:val="006E7FEE"/>
    <w:rsid w:val="006F029F"/>
    <w:rsid w:val="006F043B"/>
    <w:rsid w:val="006F0566"/>
    <w:rsid w:val="006F1D76"/>
    <w:rsid w:val="006F2521"/>
    <w:rsid w:val="006F295F"/>
    <w:rsid w:val="006F3F78"/>
    <w:rsid w:val="006F495F"/>
    <w:rsid w:val="006F4DAF"/>
    <w:rsid w:val="006F4F50"/>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15F"/>
    <w:rsid w:val="00703478"/>
    <w:rsid w:val="00703566"/>
    <w:rsid w:val="00703CB7"/>
    <w:rsid w:val="00703ED8"/>
    <w:rsid w:val="00703F1B"/>
    <w:rsid w:val="007041D2"/>
    <w:rsid w:val="00705FA1"/>
    <w:rsid w:val="007060C9"/>
    <w:rsid w:val="00707064"/>
    <w:rsid w:val="0070752E"/>
    <w:rsid w:val="00707D3A"/>
    <w:rsid w:val="0071066D"/>
    <w:rsid w:val="007111A6"/>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47B4B"/>
    <w:rsid w:val="007503B9"/>
    <w:rsid w:val="007506E8"/>
    <w:rsid w:val="0075158B"/>
    <w:rsid w:val="0075286F"/>
    <w:rsid w:val="00752E99"/>
    <w:rsid w:val="007538D1"/>
    <w:rsid w:val="00753A02"/>
    <w:rsid w:val="0075402D"/>
    <w:rsid w:val="00754097"/>
    <w:rsid w:val="00754854"/>
    <w:rsid w:val="007561B3"/>
    <w:rsid w:val="00757F5A"/>
    <w:rsid w:val="00760943"/>
    <w:rsid w:val="00761095"/>
    <w:rsid w:val="00761AD4"/>
    <w:rsid w:val="0076209E"/>
    <w:rsid w:val="007620DD"/>
    <w:rsid w:val="007629AE"/>
    <w:rsid w:val="00762E80"/>
    <w:rsid w:val="00764D4E"/>
    <w:rsid w:val="00764D85"/>
    <w:rsid w:val="007652AA"/>
    <w:rsid w:val="00765492"/>
    <w:rsid w:val="007659A7"/>
    <w:rsid w:val="00766154"/>
    <w:rsid w:val="007670B4"/>
    <w:rsid w:val="007678AB"/>
    <w:rsid w:val="007678B0"/>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454F"/>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22C5"/>
    <w:rsid w:val="007A32E5"/>
    <w:rsid w:val="007A33CE"/>
    <w:rsid w:val="007A3695"/>
    <w:rsid w:val="007A4999"/>
    <w:rsid w:val="007A4CD1"/>
    <w:rsid w:val="007A5589"/>
    <w:rsid w:val="007A7292"/>
    <w:rsid w:val="007A76A0"/>
    <w:rsid w:val="007A7F18"/>
    <w:rsid w:val="007B15FD"/>
    <w:rsid w:val="007B1D5F"/>
    <w:rsid w:val="007B446A"/>
    <w:rsid w:val="007B512A"/>
    <w:rsid w:val="007B5849"/>
    <w:rsid w:val="007B5967"/>
    <w:rsid w:val="007B6697"/>
    <w:rsid w:val="007B6720"/>
    <w:rsid w:val="007B744C"/>
    <w:rsid w:val="007B74F1"/>
    <w:rsid w:val="007B78B7"/>
    <w:rsid w:val="007C0D6B"/>
    <w:rsid w:val="007C1493"/>
    <w:rsid w:val="007C1ABF"/>
    <w:rsid w:val="007C2BF9"/>
    <w:rsid w:val="007C31E4"/>
    <w:rsid w:val="007C377C"/>
    <w:rsid w:val="007C3947"/>
    <w:rsid w:val="007C39A6"/>
    <w:rsid w:val="007C3D26"/>
    <w:rsid w:val="007C4D2A"/>
    <w:rsid w:val="007C4F48"/>
    <w:rsid w:val="007C50C2"/>
    <w:rsid w:val="007C587E"/>
    <w:rsid w:val="007C6B55"/>
    <w:rsid w:val="007D056F"/>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D7B0C"/>
    <w:rsid w:val="007E06D6"/>
    <w:rsid w:val="007E0F3D"/>
    <w:rsid w:val="007E2042"/>
    <w:rsid w:val="007E2488"/>
    <w:rsid w:val="007E2E1C"/>
    <w:rsid w:val="007E3B8F"/>
    <w:rsid w:val="007E51E0"/>
    <w:rsid w:val="007E6913"/>
    <w:rsid w:val="007E74CD"/>
    <w:rsid w:val="007E7FB5"/>
    <w:rsid w:val="007E7FB6"/>
    <w:rsid w:val="007F0AE8"/>
    <w:rsid w:val="007F0E24"/>
    <w:rsid w:val="007F0E6B"/>
    <w:rsid w:val="007F11E8"/>
    <w:rsid w:val="007F12FC"/>
    <w:rsid w:val="007F1803"/>
    <w:rsid w:val="007F2759"/>
    <w:rsid w:val="007F3CAA"/>
    <w:rsid w:val="007F4E74"/>
    <w:rsid w:val="007F6368"/>
    <w:rsid w:val="007F749D"/>
    <w:rsid w:val="007F750E"/>
    <w:rsid w:val="007F7A8D"/>
    <w:rsid w:val="007F7ACC"/>
    <w:rsid w:val="00801B02"/>
    <w:rsid w:val="00801C8C"/>
    <w:rsid w:val="0080300A"/>
    <w:rsid w:val="008036F8"/>
    <w:rsid w:val="00803A53"/>
    <w:rsid w:val="00804640"/>
    <w:rsid w:val="00804A7D"/>
    <w:rsid w:val="00805329"/>
    <w:rsid w:val="0080613F"/>
    <w:rsid w:val="008069CB"/>
    <w:rsid w:val="00807E69"/>
    <w:rsid w:val="00811EB2"/>
    <w:rsid w:val="008122B0"/>
    <w:rsid w:val="0081246F"/>
    <w:rsid w:val="00814156"/>
    <w:rsid w:val="0081439B"/>
    <w:rsid w:val="00817946"/>
    <w:rsid w:val="00822E06"/>
    <w:rsid w:val="00822F59"/>
    <w:rsid w:val="0082326C"/>
    <w:rsid w:val="008236A1"/>
    <w:rsid w:val="00823BD5"/>
    <w:rsid w:val="00826975"/>
    <w:rsid w:val="00827178"/>
    <w:rsid w:val="008279BD"/>
    <w:rsid w:val="00827BE8"/>
    <w:rsid w:val="0083009B"/>
    <w:rsid w:val="0083056C"/>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BD5"/>
    <w:rsid w:val="00837EEB"/>
    <w:rsid w:val="008413D0"/>
    <w:rsid w:val="008421D3"/>
    <w:rsid w:val="00842F5B"/>
    <w:rsid w:val="0084390A"/>
    <w:rsid w:val="00843B67"/>
    <w:rsid w:val="0084422A"/>
    <w:rsid w:val="008447DC"/>
    <w:rsid w:val="00844E1D"/>
    <w:rsid w:val="00845A4F"/>
    <w:rsid w:val="00846A3E"/>
    <w:rsid w:val="00846E9B"/>
    <w:rsid w:val="00847222"/>
    <w:rsid w:val="00847343"/>
    <w:rsid w:val="00850DCF"/>
    <w:rsid w:val="008525BE"/>
    <w:rsid w:val="00852EF3"/>
    <w:rsid w:val="008530F3"/>
    <w:rsid w:val="008532A9"/>
    <w:rsid w:val="008537FC"/>
    <w:rsid w:val="00855B68"/>
    <w:rsid w:val="00855EEE"/>
    <w:rsid w:val="0085612E"/>
    <w:rsid w:val="0085631C"/>
    <w:rsid w:val="0085641C"/>
    <w:rsid w:val="00857986"/>
    <w:rsid w:val="008607C5"/>
    <w:rsid w:val="0086080E"/>
    <w:rsid w:val="00862DDF"/>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7766D"/>
    <w:rsid w:val="0088045B"/>
    <w:rsid w:val="008809A6"/>
    <w:rsid w:val="0088193D"/>
    <w:rsid w:val="00881BC8"/>
    <w:rsid w:val="008838A3"/>
    <w:rsid w:val="00883AE0"/>
    <w:rsid w:val="00883DE9"/>
    <w:rsid w:val="00883E88"/>
    <w:rsid w:val="008847F8"/>
    <w:rsid w:val="0088489C"/>
    <w:rsid w:val="00884C3D"/>
    <w:rsid w:val="00884DB8"/>
    <w:rsid w:val="00884E52"/>
    <w:rsid w:val="008851E6"/>
    <w:rsid w:val="00885747"/>
    <w:rsid w:val="00885EA4"/>
    <w:rsid w:val="008860B9"/>
    <w:rsid w:val="00890994"/>
    <w:rsid w:val="00890C7C"/>
    <w:rsid w:val="00890F8C"/>
    <w:rsid w:val="008922C2"/>
    <w:rsid w:val="00892701"/>
    <w:rsid w:val="008946B7"/>
    <w:rsid w:val="008953E5"/>
    <w:rsid w:val="008959DF"/>
    <w:rsid w:val="0089693C"/>
    <w:rsid w:val="00897872"/>
    <w:rsid w:val="00897B92"/>
    <w:rsid w:val="008A0411"/>
    <w:rsid w:val="008A07B6"/>
    <w:rsid w:val="008A0BF8"/>
    <w:rsid w:val="008A1845"/>
    <w:rsid w:val="008A2EF8"/>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35B1"/>
    <w:rsid w:val="008B50BF"/>
    <w:rsid w:val="008B6BBE"/>
    <w:rsid w:val="008B751B"/>
    <w:rsid w:val="008C00E3"/>
    <w:rsid w:val="008C0604"/>
    <w:rsid w:val="008C09A9"/>
    <w:rsid w:val="008C0CFF"/>
    <w:rsid w:val="008C127D"/>
    <w:rsid w:val="008C1811"/>
    <w:rsid w:val="008C195A"/>
    <w:rsid w:val="008C1E98"/>
    <w:rsid w:val="008C24C0"/>
    <w:rsid w:val="008C2871"/>
    <w:rsid w:val="008C3183"/>
    <w:rsid w:val="008C320D"/>
    <w:rsid w:val="008C3CB9"/>
    <w:rsid w:val="008C53F3"/>
    <w:rsid w:val="008C5D4C"/>
    <w:rsid w:val="008C5DF4"/>
    <w:rsid w:val="008C7439"/>
    <w:rsid w:val="008C7645"/>
    <w:rsid w:val="008C7D0D"/>
    <w:rsid w:val="008D0901"/>
    <w:rsid w:val="008D1335"/>
    <w:rsid w:val="008D1C23"/>
    <w:rsid w:val="008D1CC6"/>
    <w:rsid w:val="008D21B1"/>
    <w:rsid w:val="008D259A"/>
    <w:rsid w:val="008D2C81"/>
    <w:rsid w:val="008D3E78"/>
    <w:rsid w:val="008D4E16"/>
    <w:rsid w:val="008D54BC"/>
    <w:rsid w:val="008D54D3"/>
    <w:rsid w:val="008D5FF6"/>
    <w:rsid w:val="008D62F9"/>
    <w:rsid w:val="008D665E"/>
    <w:rsid w:val="008D6B8C"/>
    <w:rsid w:val="008E053E"/>
    <w:rsid w:val="008E0711"/>
    <w:rsid w:val="008E0875"/>
    <w:rsid w:val="008E120E"/>
    <w:rsid w:val="008E1397"/>
    <w:rsid w:val="008E28B8"/>
    <w:rsid w:val="008E2AE2"/>
    <w:rsid w:val="008E317F"/>
    <w:rsid w:val="008E35AA"/>
    <w:rsid w:val="008E35F0"/>
    <w:rsid w:val="008E3A07"/>
    <w:rsid w:val="008E48DB"/>
    <w:rsid w:val="008E4E54"/>
    <w:rsid w:val="008E5341"/>
    <w:rsid w:val="008E566F"/>
    <w:rsid w:val="008E5A06"/>
    <w:rsid w:val="008E5CF9"/>
    <w:rsid w:val="008E5FA4"/>
    <w:rsid w:val="008E6D31"/>
    <w:rsid w:val="008E6E7D"/>
    <w:rsid w:val="008E726F"/>
    <w:rsid w:val="008E79CD"/>
    <w:rsid w:val="008E7DBA"/>
    <w:rsid w:val="008F0184"/>
    <w:rsid w:val="008F1DD5"/>
    <w:rsid w:val="008F2B18"/>
    <w:rsid w:val="008F2E09"/>
    <w:rsid w:val="008F2E96"/>
    <w:rsid w:val="008F316F"/>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1AB7"/>
    <w:rsid w:val="00902294"/>
    <w:rsid w:val="009029D6"/>
    <w:rsid w:val="009031F0"/>
    <w:rsid w:val="009034B5"/>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53D4"/>
    <w:rsid w:val="00915476"/>
    <w:rsid w:val="00915C27"/>
    <w:rsid w:val="00915DF8"/>
    <w:rsid w:val="00916611"/>
    <w:rsid w:val="0091686E"/>
    <w:rsid w:val="0091692A"/>
    <w:rsid w:val="009173E2"/>
    <w:rsid w:val="0091792E"/>
    <w:rsid w:val="00917CD3"/>
    <w:rsid w:val="00920974"/>
    <w:rsid w:val="0092108A"/>
    <w:rsid w:val="009222D0"/>
    <w:rsid w:val="00922D7C"/>
    <w:rsid w:val="00923907"/>
    <w:rsid w:val="009239BB"/>
    <w:rsid w:val="00924582"/>
    <w:rsid w:val="00924F21"/>
    <w:rsid w:val="0092516E"/>
    <w:rsid w:val="00926114"/>
    <w:rsid w:val="00926886"/>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112"/>
    <w:rsid w:val="0093728A"/>
    <w:rsid w:val="0093757B"/>
    <w:rsid w:val="0093783C"/>
    <w:rsid w:val="00937A8B"/>
    <w:rsid w:val="00937F89"/>
    <w:rsid w:val="009402D6"/>
    <w:rsid w:val="0094074A"/>
    <w:rsid w:val="00940B39"/>
    <w:rsid w:val="00941FB6"/>
    <w:rsid w:val="009421CA"/>
    <w:rsid w:val="00942DA9"/>
    <w:rsid w:val="00942DAE"/>
    <w:rsid w:val="00942E79"/>
    <w:rsid w:val="009433E5"/>
    <w:rsid w:val="00943AAA"/>
    <w:rsid w:val="00943F8E"/>
    <w:rsid w:val="00944C9F"/>
    <w:rsid w:val="00945DFC"/>
    <w:rsid w:val="00945F8E"/>
    <w:rsid w:val="009461AD"/>
    <w:rsid w:val="00946A2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57110"/>
    <w:rsid w:val="00960DDD"/>
    <w:rsid w:val="009612A1"/>
    <w:rsid w:val="00961780"/>
    <w:rsid w:val="00961F4D"/>
    <w:rsid w:val="009642D6"/>
    <w:rsid w:val="00964DEA"/>
    <w:rsid w:val="00965C4B"/>
    <w:rsid w:val="009665C4"/>
    <w:rsid w:val="00966677"/>
    <w:rsid w:val="00966E9C"/>
    <w:rsid w:val="00967109"/>
    <w:rsid w:val="00967BBC"/>
    <w:rsid w:val="00970245"/>
    <w:rsid w:val="00971D2B"/>
    <w:rsid w:val="00972179"/>
    <w:rsid w:val="009730B0"/>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CCA"/>
    <w:rsid w:val="00986DE3"/>
    <w:rsid w:val="00987F4F"/>
    <w:rsid w:val="00990380"/>
    <w:rsid w:val="00990A84"/>
    <w:rsid w:val="00990FB1"/>
    <w:rsid w:val="00991380"/>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8B1"/>
    <w:rsid w:val="009A6909"/>
    <w:rsid w:val="009A6D0D"/>
    <w:rsid w:val="009A722D"/>
    <w:rsid w:val="009A7356"/>
    <w:rsid w:val="009A785A"/>
    <w:rsid w:val="009A7D60"/>
    <w:rsid w:val="009A7D66"/>
    <w:rsid w:val="009B0490"/>
    <w:rsid w:val="009B2BFE"/>
    <w:rsid w:val="009B3419"/>
    <w:rsid w:val="009B350B"/>
    <w:rsid w:val="009B3BAD"/>
    <w:rsid w:val="009B3D69"/>
    <w:rsid w:val="009B5128"/>
    <w:rsid w:val="009B6453"/>
    <w:rsid w:val="009B6FA1"/>
    <w:rsid w:val="009B75FB"/>
    <w:rsid w:val="009C24D5"/>
    <w:rsid w:val="009C2D25"/>
    <w:rsid w:val="009C2FC0"/>
    <w:rsid w:val="009C3424"/>
    <w:rsid w:val="009C387A"/>
    <w:rsid w:val="009C3C1E"/>
    <w:rsid w:val="009C3F6D"/>
    <w:rsid w:val="009C4690"/>
    <w:rsid w:val="009C4712"/>
    <w:rsid w:val="009C4FD9"/>
    <w:rsid w:val="009C5FA0"/>
    <w:rsid w:val="009C7F67"/>
    <w:rsid w:val="009D0574"/>
    <w:rsid w:val="009D0770"/>
    <w:rsid w:val="009D119A"/>
    <w:rsid w:val="009D1585"/>
    <w:rsid w:val="009D16FA"/>
    <w:rsid w:val="009D2EF1"/>
    <w:rsid w:val="009D3199"/>
    <w:rsid w:val="009D3DDE"/>
    <w:rsid w:val="009D4386"/>
    <w:rsid w:val="009D63F9"/>
    <w:rsid w:val="009D69DE"/>
    <w:rsid w:val="009D7893"/>
    <w:rsid w:val="009E094A"/>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38E8"/>
    <w:rsid w:val="009F3A61"/>
    <w:rsid w:val="009F3B5C"/>
    <w:rsid w:val="009F4256"/>
    <w:rsid w:val="009F458D"/>
    <w:rsid w:val="009F5C3D"/>
    <w:rsid w:val="009F6450"/>
    <w:rsid w:val="009F6C4F"/>
    <w:rsid w:val="009F6D03"/>
    <w:rsid w:val="009F7C31"/>
    <w:rsid w:val="00A00590"/>
    <w:rsid w:val="00A007DD"/>
    <w:rsid w:val="00A03496"/>
    <w:rsid w:val="00A05D90"/>
    <w:rsid w:val="00A0622B"/>
    <w:rsid w:val="00A06BFC"/>
    <w:rsid w:val="00A07ACA"/>
    <w:rsid w:val="00A10593"/>
    <w:rsid w:val="00A10749"/>
    <w:rsid w:val="00A1163E"/>
    <w:rsid w:val="00A11860"/>
    <w:rsid w:val="00A11DA6"/>
    <w:rsid w:val="00A12026"/>
    <w:rsid w:val="00A142CE"/>
    <w:rsid w:val="00A15B3E"/>
    <w:rsid w:val="00A15FE0"/>
    <w:rsid w:val="00A16333"/>
    <w:rsid w:val="00A16A4C"/>
    <w:rsid w:val="00A174F6"/>
    <w:rsid w:val="00A17DB6"/>
    <w:rsid w:val="00A201F7"/>
    <w:rsid w:val="00A20464"/>
    <w:rsid w:val="00A21B43"/>
    <w:rsid w:val="00A21FB9"/>
    <w:rsid w:val="00A22E52"/>
    <w:rsid w:val="00A2366A"/>
    <w:rsid w:val="00A243EE"/>
    <w:rsid w:val="00A265C8"/>
    <w:rsid w:val="00A2699F"/>
    <w:rsid w:val="00A26A1E"/>
    <w:rsid w:val="00A26DE2"/>
    <w:rsid w:val="00A2785C"/>
    <w:rsid w:val="00A27EC6"/>
    <w:rsid w:val="00A30656"/>
    <w:rsid w:val="00A3088A"/>
    <w:rsid w:val="00A31335"/>
    <w:rsid w:val="00A3180A"/>
    <w:rsid w:val="00A31AC6"/>
    <w:rsid w:val="00A33D68"/>
    <w:rsid w:val="00A34915"/>
    <w:rsid w:val="00A35E6A"/>
    <w:rsid w:val="00A36038"/>
    <w:rsid w:val="00A366CA"/>
    <w:rsid w:val="00A36B62"/>
    <w:rsid w:val="00A36EF0"/>
    <w:rsid w:val="00A376FA"/>
    <w:rsid w:val="00A402CF"/>
    <w:rsid w:val="00A40FC0"/>
    <w:rsid w:val="00A413AC"/>
    <w:rsid w:val="00A43774"/>
    <w:rsid w:val="00A4419F"/>
    <w:rsid w:val="00A4422C"/>
    <w:rsid w:val="00A44325"/>
    <w:rsid w:val="00A44685"/>
    <w:rsid w:val="00A44AB4"/>
    <w:rsid w:val="00A44B34"/>
    <w:rsid w:val="00A4515E"/>
    <w:rsid w:val="00A45996"/>
    <w:rsid w:val="00A465BA"/>
    <w:rsid w:val="00A46784"/>
    <w:rsid w:val="00A468A9"/>
    <w:rsid w:val="00A479D3"/>
    <w:rsid w:val="00A47E70"/>
    <w:rsid w:val="00A50399"/>
    <w:rsid w:val="00A505FF"/>
    <w:rsid w:val="00A507A1"/>
    <w:rsid w:val="00A544DB"/>
    <w:rsid w:val="00A55128"/>
    <w:rsid w:val="00A55835"/>
    <w:rsid w:val="00A55CBD"/>
    <w:rsid w:val="00A56772"/>
    <w:rsid w:val="00A570EF"/>
    <w:rsid w:val="00A61D78"/>
    <w:rsid w:val="00A6256C"/>
    <w:rsid w:val="00A62658"/>
    <w:rsid w:val="00A62B37"/>
    <w:rsid w:val="00A632EB"/>
    <w:rsid w:val="00A63584"/>
    <w:rsid w:val="00A638C7"/>
    <w:rsid w:val="00A63C72"/>
    <w:rsid w:val="00A64F6B"/>
    <w:rsid w:val="00A659F5"/>
    <w:rsid w:val="00A671CE"/>
    <w:rsid w:val="00A677DD"/>
    <w:rsid w:val="00A67A60"/>
    <w:rsid w:val="00A70329"/>
    <w:rsid w:val="00A711DC"/>
    <w:rsid w:val="00A71FE2"/>
    <w:rsid w:val="00A7250A"/>
    <w:rsid w:val="00A725DB"/>
    <w:rsid w:val="00A72DE1"/>
    <w:rsid w:val="00A730E8"/>
    <w:rsid w:val="00A7314C"/>
    <w:rsid w:val="00A73BFE"/>
    <w:rsid w:val="00A740DE"/>
    <w:rsid w:val="00A7420F"/>
    <w:rsid w:val="00A74B44"/>
    <w:rsid w:val="00A75673"/>
    <w:rsid w:val="00A7613D"/>
    <w:rsid w:val="00A766B0"/>
    <w:rsid w:val="00A766B8"/>
    <w:rsid w:val="00A76980"/>
    <w:rsid w:val="00A8011C"/>
    <w:rsid w:val="00A816A6"/>
    <w:rsid w:val="00A81C95"/>
    <w:rsid w:val="00A8205B"/>
    <w:rsid w:val="00A8255B"/>
    <w:rsid w:val="00A82733"/>
    <w:rsid w:val="00A82EAB"/>
    <w:rsid w:val="00A82F03"/>
    <w:rsid w:val="00A83083"/>
    <w:rsid w:val="00A83254"/>
    <w:rsid w:val="00A83501"/>
    <w:rsid w:val="00A83E7D"/>
    <w:rsid w:val="00A83ED4"/>
    <w:rsid w:val="00A85669"/>
    <w:rsid w:val="00A861B1"/>
    <w:rsid w:val="00A863EE"/>
    <w:rsid w:val="00A875EF"/>
    <w:rsid w:val="00A879FD"/>
    <w:rsid w:val="00A91C3D"/>
    <w:rsid w:val="00A928E5"/>
    <w:rsid w:val="00A92E74"/>
    <w:rsid w:val="00A933A1"/>
    <w:rsid w:val="00A934D0"/>
    <w:rsid w:val="00A94392"/>
    <w:rsid w:val="00A954AC"/>
    <w:rsid w:val="00A9574A"/>
    <w:rsid w:val="00A95754"/>
    <w:rsid w:val="00A9721B"/>
    <w:rsid w:val="00AA0355"/>
    <w:rsid w:val="00AA046A"/>
    <w:rsid w:val="00AA3736"/>
    <w:rsid w:val="00AA3A7F"/>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1B0C"/>
    <w:rsid w:val="00AD2193"/>
    <w:rsid w:val="00AD22AC"/>
    <w:rsid w:val="00AD27D1"/>
    <w:rsid w:val="00AD2E87"/>
    <w:rsid w:val="00AD3B6A"/>
    <w:rsid w:val="00AD3BC3"/>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1890"/>
    <w:rsid w:val="00AF19F8"/>
    <w:rsid w:val="00AF22BA"/>
    <w:rsid w:val="00AF3473"/>
    <w:rsid w:val="00AF4332"/>
    <w:rsid w:val="00AF45CD"/>
    <w:rsid w:val="00AF4A07"/>
    <w:rsid w:val="00AF4E18"/>
    <w:rsid w:val="00AF67B5"/>
    <w:rsid w:val="00AF7515"/>
    <w:rsid w:val="00B00341"/>
    <w:rsid w:val="00B009E7"/>
    <w:rsid w:val="00B010E3"/>
    <w:rsid w:val="00B039EC"/>
    <w:rsid w:val="00B05534"/>
    <w:rsid w:val="00B06097"/>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2B70"/>
    <w:rsid w:val="00B2333A"/>
    <w:rsid w:val="00B235F4"/>
    <w:rsid w:val="00B24378"/>
    <w:rsid w:val="00B25923"/>
    <w:rsid w:val="00B26195"/>
    <w:rsid w:val="00B27C79"/>
    <w:rsid w:val="00B27F94"/>
    <w:rsid w:val="00B30D09"/>
    <w:rsid w:val="00B31AB3"/>
    <w:rsid w:val="00B31E2B"/>
    <w:rsid w:val="00B31ED2"/>
    <w:rsid w:val="00B3212C"/>
    <w:rsid w:val="00B3257E"/>
    <w:rsid w:val="00B3360C"/>
    <w:rsid w:val="00B338E7"/>
    <w:rsid w:val="00B33B84"/>
    <w:rsid w:val="00B343B8"/>
    <w:rsid w:val="00B347E8"/>
    <w:rsid w:val="00B34A43"/>
    <w:rsid w:val="00B34A8B"/>
    <w:rsid w:val="00B34FB1"/>
    <w:rsid w:val="00B35CC0"/>
    <w:rsid w:val="00B36552"/>
    <w:rsid w:val="00B37B0B"/>
    <w:rsid w:val="00B40BA4"/>
    <w:rsid w:val="00B41217"/>
    <w:rsid w:val="00B41E30"/>
    <w:rsid w:val="00B42D10"/>
    <w:rsid w:val="00B4374E"/>
    <w:rsid w:val="00B44656"/>
    <w:rsid w:val="00B45A16"/>
    <w:rsid w:val="00B4694B"/>
    <w:rsid w:val="00B47C0A"/>
    <w:rsid w:val="00B50132"/>
    <w:rsid w:val="00B50621"/>
    <w:rsid w:val="00B50707"/>
    <w:rsid w:val="00B51609"/>
    <w:rsid w:val="00B51FA5"/>
    <w:rsid w:val="00B520D9"/>
    <w:rsid w:val="00B52B4D"/>
    <w:rsid w:val="00B52D23"/>
    <w:rsid w:val="00B5303D"/>
    <w:rsid w:val="00B53817"/>
    <w:rsid w:val="00B53942"/>
    <w:rsid w:val="00B55129"/>
    <w:rsid w:val="00B55402"/>
    <w:rsid w:val="00B557B2"/>
    <w:rsid w:val="00B55E48"/>
    <w:rsid w:val="00B56073"/>
    <w:rsid w:val="00B56374"/>
    <w:rsid w:val="00B56DD5"/>
    <w:rsid w:val="00B57002"/>
    <w:rsid w:val="00B6023C"/>
    <w:rsid w:val="00B602D3"/>
    <w:rsid w:val="00B614F8"/>
    <w:rsid w:val="00B619BE"/>
    <w:rsid w:val="00B61B71"/>
    <w:rsid w:val="00B61FEB"/>
    <w:rsid w:val="00B625C5"/>
    <w:rsid w:val="00B6341F"/>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6A11"/>
    <w:rsid w:val="00B87873"/>
    <w:rsid w:val="00B87B22"/>
    <w:rsid w:val="00B90106"/>
    <w:rsid w:val="00B90F40"/>
    <w:rsid w:val="00B90FD9"/>
    <w:rsid w:val="00B91474"/>
    <w:rsid w:val="00B91923"/>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99B"/>
    <w:rsid w:val="00BB39BF"/>
    <w:rsid w:val="00BB4174"/>
    <w:rsid w:val="00BB4CBA"/>
    <w:rsid w:val="00BB5613"/>
    <w:rsid w:val="00BB5E18"/>
    <w:rsid w:val="00BB6430"/>
    <w:rsid w:val="00BB6A53"/>
    <w:rsid w:val="00BB6B31"/>
    <w:rsid w:val="00BB7367"/>
    <w:rsid w:val="00BB75BD"/>
    <w:rsid w:val="00BC0496"/>
    <w:rsid w:val="00BC15A4"/>
    <w:rsid w:val="00BC2514"/>
    <w:rsid w:val="00BC2BF1"/>
    <w:rsid w:val="00BC3573"/>
    <w:rsid w:val="00BC35B5"/>
    <w:rsid w:val="00BC39FF"/>
    <w:rsid w:val="00BC3F7B"/>
    <w:rsid w:val="00BC410E"/>
    <w:rsid w:val="00BC4269"/>
    <w:rsid w:val="00BC5578"/>
    <w:rsid w:val="00BC599B"/>
    <w:rsid w:val="00BC5AC5"/>
    <w:rsid w:val="00BC5D84"/>
    <w:rsid w:val="00BC62FB"/>
    <w:rsid w:val="00BC6C4E"/>
    <w:rsid w:val="00BC6E48"/>
    <w:rsid w:val="00BC7455"/>
    <w:rsid w:val="00BC74B6"/>
    <w:rsid w:val="00BC776A"/>
    <w:rsid w:val="00BC7B5F"/>
    <w:rsid w:val="00BD0062"/>
    <w:rsid w:val="00BD00B1"/>
    <w:rsid w:val="00BD0E0B"/>
    <w:rsid w:val="00BD1212"/>
    <w:rsid w:val="00BD1937"/>
    <w:rsid w:val="00BD279D"/>
    <w:rsid w:val="00BD36FB"/>
    <w:rsid w:val="00BD48C5"/>
    <w:rsid w:val="00BD52FA"/>
    <w:rsid w:val="00BD5AE8"/>
    <w:rsid w:val="00BD5E3C"/>
    <w:rsid w:val="00BD5F05"/>
    <w:rsid w:val="00BD5FCC"/>
    <w:rsid w:val="00BD64F8"/>
    <w:rsid w:val="00BD67E2"/>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E7C5F"/>
    <w:rsid w:val="00BF0580"/>
    <w:rsid w:val="00BF0B56"/>
    <w:rsid w:val="00BF0B80"/>
    <w:rsid w:val="00BF21C3"/>
    <w:rsid w:val="00BF2782"/>
    <w:rsid w:val="00BF27E1"/>
    <w:rsid w:val="00BF29FD"/>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0DFE"/>
    <w:rsid w:val="00C11012"/>
    <w:rsid w:val="00C11121"/>
    <w:rsid w:val="00C111A9"/>
    <w:rsid w:val="00C11712"/>
    <w:rsid w:val="00C118E0"/>
    <w:rsid w:val="00C136A6"/>
    <w:rsid w:val="00C138D6"/>
    <w:rsid w:val="00C1434A"/>
    <w:rsid w:val="00C150FA"/>
    <w:rsid w:val="00C15881"/>
    <w:rsid w:val="00C1589E"/>
    <w:rsid w:val="00C16107"/>
    <w:rsid w:val="00C167B6"/>
    <w:rsid w:val="00C168C6"/>
    <w:rsid w:val="00C16A56"/>
    <w:rsid w:val="00C17D9F"/>
    <w:rsid w:val="00C20182"/>
    <w:rsid w:val="00C20F4E"/>
    <w:rsid w:val="00C20FCE"/>
    <w:rsid w:val="00C234B6"/>
    <w:rsid w:val="00C2412B"/>
    <w:rsid w:val="00C243AF"/>
    <w:rsid w:val="00C2448E"/>
    <w:rsid w:val="00C24A4F"/>
    <w:rsid w:val="00C24A98"/>
    <w:rsid w:val="00C24E1D"/>
    <w:rsid w:val="00C253A0"/>
    <w:rsid w:val="00C26A4C"/>
    <w:rsid w:val="00C2748B"/>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48AF"/>
    <w:rsid w:val="00C450D5"/>
    <w:rsid w:val="00C4539D"/>
    <w:rsid w:val="00C45879"/>
    <w:rsid w:val="00C458AC"/>
    <w:rsid w:val="00C459B7"/>
    <w:rsid w:val="00C460F5"/>
    <w:rsid w:val="00C4727C"/>
    <w:rsid w:val="00C47F2E"/>
    <w:rsid w:val="00C503A2"/>
    <w:rsid w:val="00C5044D"/>
    <w:rsid w:val="00C5104E"/>
    <w:rsid w:val="00C52735"/>
    <w:rsid w:val="00C52CA4"/>
    <w:rsid w:val="00C53A7F"/>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162"/>
    <w:rsid w:val="00CA5422"/>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4ECC"/>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58EE"/>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7357"/>
    <w:rsid w:val="00CF73D4"/>
    <w:rsid w:val="00CF7811"/>
    <w:rsid w:val="00D0140B"/>
    <w:rsid w:val="00D020D2"/>
    <w:rsid w:val="00D0291E"/>
    <w:rsid w:val="00D045B1"/>
    <w:rsid w:val="00D04F44"/>
    <w:rsid w:val="00D051A3"/>
    <w:rsid w:val="00D0592B"/>
    <w:rsid w:val="00D07AEA"/>
    <w:rsid w:val="00D106C8"/>
    <w:rsid w:val="00D11191"/>
    <w:rsid w:val="00D12684"/>
    <w:rsid w:val="00D129E1"/>
    <w:rsid w:val="00D13AF7"/>
    <w:rsid w:val="00D140B6"/>
    <w:rsid w:val="00D14A95"/>
    <w:rsid w:val="00D14BDC"/>
    <w:rsid w:val="00D1547D"/>
    <w:rsid w:val="00D15747"/>
    <w:rsid w:val="00D15834"/>
    <w:rsid w:val="00D15B3F"/>
    <w:rsid w:val="00D15D1D"/>
    <w:rsid w:val="00D16DC4"/>
    <w:rsid w:val="00D17AA9"/>
    <w:rsid w:val="00D17D34"/>
    <w:rsid w:val="00D20A32"/>
    <w:rsid w:val="00D233A3"/>
    <w:rsid w:val="00D2389D"/>
    <w:rsid w:val="00D2435E"/>
    <w:rsid w:val="00D249A6"/>
    <w:rsid w:val="00D24B5B"/>
    <w:rsid w:val="00D25335"/>
    <w:rsid w:val="00D25C6F"/>
    <w:rsid w:val="00D2660D"/>
    <w:rsid w:val="00D27835"/>
    <w:rsid w:val="00D27DEC"/>
    <w:rsid w:val="00D311D9"/>
    <w:rsid w:val="00D317C2"/>
    <w:rsid w:val="00D32033"/>
    <w:rsid w:val="00D32286"/>
    <w:rsid w:val="00D322C4"/>
    <w:rsid w:val="00D324CC"/>
    <w:rsid w:val="00D3267E"/>
    <w:rsid w:val="00D32B0C"/>
    <w:rsid w:val="00D32E64"/>
    <w:rsid w:val="00D33D71"/>
    <w:rsid w:val="00D34B96"/>
    <w:rsid w:val="00D377E1"/>
    <w:rsid w:val="00D37B0F"/>
    <w:rsid w:val="00D40198"/>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60117"/>
    <w:rsid w:val="00D61CFF"/>
    <w:rsid w:val="00D61E64"/>
    <w:rsid w:val="00D62F0F"/>
    <w:rsid w:val="00D6360C"/>
    <w:rsid w:val="00D64714"/>
    <w:rsid w:val="00D654B6"/>
    <w:rsid w:val="00D661CC"/>
    <w:rsid w:val="00D66AF7"/>
    <w:rsid w:val="00D66BC4"/>
    <w:rsid w:val="00D66DB4"/>
    <w:rsid w:val="00D67393"/>
    <w:rsid w:val="00D67E08"/>
    <w:rsid w:val="00D7032C"/>
    <w:rsid w:val="00D7067B"/>
    <w:rsid w:val="00D70E44"/>
    <w:rsid w:val="00D712EC"/>
    <w:rsid w:val="00D7175C"/>
    <w:rsid w:val="00D71930"/>
    <w:rsid w:val="00D72B2E"/>
    <w:rsid w:val="00D73BF8"/>
    <w:rsid w:val="00D73EAA"/>
    <w:rsid w:val="00D74B6B"/>
    <w:rsid w:val="00D75AB3"/>
    <w:rsid w:val="00D760A8"/>
    <w:rsid w:val="00D76673"/>
    <w:rsid w:val="00D76CB8"/>
    <w:rsid w:val="00D77A26"/>
    <w:rsid w:val="00D77D6B"/>
    <w:rsid w:val="00D80C65"/>
    <w:rsid w:val="00D8495E"/>
    <w:rsid w:val="00D84B29"/>
    <w:rsid w:val="00D87A16"/>
    <w:rsid w:val="00D9074A"/>
    <w:rsid w:val="00D9097D"/>
    <w:rsid w:val="00D91DD7"/>
    <w:rsid w:val="00D9417C"/>
    <w:rsid w:val="00D945FC"/>
    <w:rsid w:val="00D949C7"/>
    <w:rsid w:val="00D94AA1"/>
    <w:rsid w:val="00D94E69"/>
    <w:rsid w:val="00D952E4"/>
    <w:rsid w:val="00D95B22"/>
    <w:rsid w:val="00D976EA"/>
    <w:rsid w:val="00D97DF1"/>
    <w:rsid w:val="00DA0CE1"/>
    <w:rsid w:val="00DA0D96"/>
    <w:rsid w:val="00DA32E6"/>
    <w:rsid w:val="00DA32F7"/>
    <w:rsid w:val="00DA3F70"/>
    <w:rsid w:val="00DA5C7C"/>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32FA"/>
    <w:rsid w:val="00DC331F"/>
    <w:rsid w:val="00DC4A29"/>
    <w:rsid w:val="00DC57BD"/>
    <w:rsid w:val="00DC60D3"/>
    <w:rsid w:val="00DC67AC"/>
    <w:rsid w:val="00DC6D5F"/>
    <w:rsid w:val="00DC7453"/>
    <w:rsid w:val="00DC7503"/>
    <w:rsid w:val="00DC7B6E"/>
    <w:rsid w:val="00DD0B00"/>
    <w:rsid w:val="00DD14C4"/>
    <w:rsid w:val="00DD1B94"/>
    <w:rsid w:val="00DD1C23"/>
    <w:rsid w:val="00DD2CDA"/>
    <w:rsid w:val="00DD350D"/>
    <w:rsid w:val="00DD3A54"/>
    <w:rsid w:val="00DD3B19"/>
    <w:rsid w:val="00DD3BB0"/>
    <w:rsid w:val="00DD4216"/>
    <w:rsid w:val="00DD4F6E"/>
    <w:rsid w:val="00DD50DD"/>
    <w:rsid w:val="00DD581D"/>
    <w:rsid w:val="00DD5AE1"/>
    <w:rsid w:val="00DD7459"/>
    <w:rsid w:val="00DD7CDC"/>
    <w:rsid w:val="00DE13E1"/>
    <w:rsid w:val="00DE151B"/>
    <w:rsid w:val="00DE1EE1"/>
    <w:rsid w:val="00DE1F2B"/>
    <w:rsid w:val="00DE274C"/>
    <w:rsid w:val="00DE287D"/>
    <w:rsid w:val="00DE2A8B"/>
    <w:rsid w:val="00DE38F6"/>
    <w:rsid w:val="00DE3CC3"/>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E0095F"/>
    <w:rsid w:val="00E028EE"/>
    <w:rsid w:val="00E03A59"/>
    <w:rsid w:val="00E03A6C"/>
    <w:rsid w:val="00E03C6D"/>
    <w:rsid w:val="00E03EB1"/>
    <w:rsid w:val="00E0429F"/>
    <w:rsid w:val="00E044E8"/>
    <w:rsid w:val="00E10018"/>
    <w:rsid w:val="00E10F6B"/>
    <w:rsid w:val="00E119DC"/>
    <w:rsid w:val="00E11EEA"/>
    <w:rsid w:val="00E12796"/>
    <w:rsid w:val="00E12F74"/>
    <w:rsid w:val="00E139CA"/>
    <w:rsid w:val="00E14A2C"/>
    <w:rsid w:val="00E15C46"/>
    <w:rsid w:val="00E15E28"/>
    <w:rsid w:val="00E165DD"/>
    <w:rsid w:val="00E16632"/>
    <w:rsid w:val="00E16BCC"/>
    <w:rsid w:val="00E16F1D"/>
    <w:rsid w:val="00E17FCE"/>
    <w:rsid w:val="00E214EB"/>
    <w:rsid w:val="00E21906"/>
    <w:rsid w:val="00E22AF9"/>
    <w:rsid w:val="00E232BC"/>
    <w:rsid w:val="00E234D2"/>
    <w:rsid w:val="00E23835"/>
    <w:rsid w:val="00E23E88"/>
    <w:rsid w:val="00E3067F"/>
    <w:rsid w:val="00E307BA"/>
    <w:rsid w:val="00E30D80"/>
    <w:rsid w:val="00E3131F"/>
    <w:rsid w:val="00E31582"/>
    <w:rsid w:val="00E319C5"/>
    <w:rsid w:val="00E31B55"/>
    <w:rsid w:val="00E3249F"/>
    <w:rsid w:val="00E324CC"/>
    <w:rsid w:val="00E327D7"/>
    <w:rsid w:val="00E33380"/>
    <w:rsid w:val="00E34407"/>
    <w:rsid w:val="00E3467F"/>
    <w:rsid w:val="00E3527D"/>
    <w:rsid w:val="00E35618"/>
    <w:rsid w:val="00E35C77"/>
    <w:rsid w:val="00E37191"/>
    <w:rsid w:val="00E37719"/>
    <w:rsid w:val="00E413B8"/>
    <w:rsid w:val="00E41A41"/>
    <w:rsid w:val="00E41BFC"/>
    <w:rsid w:val="00E41CD1"/>
    <w:rsid w:val="00E42750"/>
    <w:rsid w:val="00E42AC9"/>
    <w:rsid w:val="00E42E27"/>
    <w:rsid w:val="00E43093"/>
    <w:rsid w:val="00E43316"/>
    <w:rsid w:val="00E4440F"/>
    <w:rsid w:val="00E447A1"/>
    <w:rsid w:val="00E454D5"/>
    <w:rsid w:val="00E456BF"/>
    <w:rsid w:val="00E4699A"/>
    <w:rsid w:val="00E47690"/>
    <w:rsid w:val="00E51340"/>
    <w:rsid w:val="00E513E4"/>
    <w:rsid w:val="00E52089"/>
    <w:rsid w:val="00E52205"/>
    <w:rsid w:val="00E52CB4"/>
    <w:rsid w:val="00E54304"/>
    <w:rsid w:val="00E547B5"/>
    <w:rsid w:val="00E54B20"/>
    <w:rsid w:val="00E54D81"/>
    <w:rsid w:val="00E554FF"/>
    <w:rsid w:val="00E55AFC"/>
    <w:rsid w:val="00E55D01"/>
    <w:rsid w:val="00E55F73"/>
    <w:rsid w:val="00E574B5"/>
    <w:rsid w:val="00E57526"/>
    <w:rsid w:val="00E60E1D"/>
    <w:rsid w:val="00E61597"/>
    <w:rsid w:val="00E61ABA"/>
    <w:rsid w:val="00E632D6"/>
    <w:rsid w:val="00E6393D"/>
    <w:rsid w:val="00E643A6"/>
    <w:rsid w:val="00E655FF"/>
    <w:rsid w:val="00E65E14"/>
    <w:rsid w:val="00E66FEF"/>
    <w:rsid w:val="00E673C4"/>
    <w:rsid w:val="00E67D48"/>
    <w:rsid w:val="00E70CEF"/>
    <w:rsid w:val="00E71412"/>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55AE"/>
    <w:rsid w:val="00E956C9"/>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CC3"/>
    <w:rsid w:val="00EB505B"/>
    <w:rsid w:val="00EB52E7"/>
    <w:rsid w:val="00EB5621"/>
    <w:rsid w:val="00EB5822"/>
    <w:rsid w:val="00EB63D8"/>
    <w:rsid w:val="00EB69A6"/>
    <w:rsid w:val="00EB77A8"/>
    <w:rsid w:val="00EB7FA8"/>
    <w:rsid w:val="00EC0520"/>
    <w:rsid w:val="00EC0632"/>
    <w:rsid w:val="00EC1E45"/>
    <w:rsid w:val="00EC3290"/>
    <w:rsid w:val="00EC355E"/>
    <w:rsid w:val="00EC38C0"/>
    <w:rsid w:val="00EC4C18"/>
    <w:rsid w:val="00EC55D5"/>
    <w:rsid w:val="00EC5713"/>
    <w:rsid w:val="00EC586C"/>
    <w:rsid w:val="00EC6675"/>
    <w:rsid w:val="00EC6E6C"/>
    <w:rsid w:val="00EC7C1B"/>
    <w:rsid w:val="00EC7F42"/>
    <w:rsid w:val="00ED00C2"/>
    <w:rsid w:val="00ED0ED4"/>
    <w:rsid w:val="00ED17A9"/>
    <w:rsid w:val="00ED1CA1"/>
    <w:rsid w:val="00ED1EE3"/>
    <w:rsid w:val="00ED2080"/>
    <w:rsid w:val="00ED2AFA"/>
    <w:rsid w:val="00ED32B1"/>
    <w:rsid w:val="00ED366E"/>
    <w:rsid w:val="00ED374F"/>
    <w:rsid w:val="00ED3B9C"/>
    <w:rsid w:val="00ED4547"/>
    <w:rsid w:val="00ED5831"/>
    <w:rsid w:val="00ED58D4"/>
    <w:rsid w:val="00ED5D30"/>
    <w:rsid w:val="00ED5D4E"/>
    <w:rsid w:val="00ED62D0"/>
    <w:rsid w:val="00ED6C4B"/>
    <w:rsid w:val="00ED7F99"/>
    <w:rsid w:val="00EE1449"/>
    <w:rsid w:val="00EE160B"/>
    <w:rsid w:val="00EE1A31"/>
    <w:rsid w:val="00EE2184"/>
    <w:rsid w:val="00EE21FF"/>
    <w:rsid w:val="00EE39D6"/>
    <w:rsid w:val="00EE41D1"/>
    <w:rsid w:val="00EE4A13"/>
    <w:rsid w:val="00EE4CB7"/>
    <w:rsid w:val="00EE5598"/>
    <w:rsid w:val="00EE57BE"/>
    <w:rsid w:val="00EE5C23"/>
    <w:rsid w:val="00EE61AA"/>
    <w:rsid w:val="00EE678D"/>
    <w:rsid w:val="00EE7D34"/>
    <w:rsid w:val="00EE7D43"/>
    <w:rsid w:val="00EF0929"/>
    <w:rsid w:val="00EF104B"/>
    <w:rsid w:val="00EF137B"/>
    <w:rsid w:val="00EF1C97"/>
    <w:rsid w:val="00EF2310"/>
    <w:rsid w:val="00EF236D"/>
    <w:rsid w:val="00EF2E8F"/>
    <w:rsid w:val="00EF2EC2"/>
    <w:rsid w:val="00EF3BEA"/>
    <w:rsid w:val="00EF4764"/>
    <w:rsid w:val="00EF57BE"/>
    <w:rsid w:val="00EF63F4"/>
    <w:rsid w:val="00EF700E"/>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7B"/>
    <w:rsid w:val="00F10B16"/>
    <w:rsid w:val="00F11903"/>
    <w:rsid w:val="00F1267D"/>
    <w:rsid w:val="00F12DAD"/>
    <w:rsid w:val="00F136F7"/>
    <w:rsid w:val="00F1450A"/>
    <w:rsid w:val="00F14B56"/>
    <w:rsid w:val="00F15201"/>
    <w:rsid w:val="00F15345"/>
    <w:rsid w:val="00F153B7"/>
    <w:rsid w:val="00F16B58"/>
    <w:rsid w:val="00F16BC7"/>
    <w:rsid w:val="00F16EB9"/>
    <w:rsid w:val="00F1703D"/>
    <w:rsid w:val="00F20538"/>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30F"/>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34B96"/>
    <w:rsid w:val="00F401CE"/>
    <w:rsid w:val="00F4025A"/>
    <w:rsid w:val="00F414C4"/>
    <w:rsid w:val="00F42936"/>
    <w:rsid w:val="00F42BE7"/>
    <w:rsid w:val="00F438DD"/>
    <w:rsid w:val="00F44146"/>
    <w:rsid w:val="00F44A58"/>
    <w:rsid w:val="00F45052"/>
    <w:rsid w:val="00F45071"/>
    <w:rsid w:val="00F45486"/>
    <w:rsid w:val="00F475D5"/>
    <w:rsid w:val="00F476A5"/>
    <w:rsid w:val="00F4792F"/>
    <w:rsid w:val="00F47A89"/>
    <w:rsid w:val="00F47E23"/>
    <w:rsid w:val="00F50F2A"/>
    <w:rsid w:val="00F53EBD"/>
    <w:rsid w:val="00F5423E"/>
    <w:rsid w:val="00F54758"/>
    <w:rsid w:val="00F54EA6"/>
    <w:rsid w:val="00F550A2"/>
    <w:rsid w:val="00F55DD1"/>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28A2"/>
    <w:rsid w:val="00F73D02"/>
    <w:rsid w:val="00F73F22"/>
    <w:rsid w:val="00F74EB8"/>
    <w:rsid w:val="00F74FD8"/>
    <w:rsid w:val="00F75BCF"/>
    <w:rsid w:val="00F75C77"/>
    <w:rsid w:val="00F76694"/>
    <w:rsid w:val="00F767E5"/>
    <w:rsid w:val="00F76D79"/>
    <w:rsid w:val="00F7725B"/>
    <w:rsid w:val="00F77268"/>
    <w:rsid w:val="00F77D9A"/>
    <w:rsid w:val="00F80183"/>
    <w:rsid w:val="00F80276"/>
    <w:rsid w:val="00F80DBD"/>
    <w:rsid w:val="00F81236"/>
    <w:rsid w:val="00F824CF"/>
    <w:rsid w:val="00F82702"/>
    <w:rsid w:val="00F82DB8"/>
    <w:rsid w:val="00F831F8"/>
    <w:rsid w:val="00F834DD"/>
    <w:rsid w:val="00F84699"/>
    <w:rsid w:val="00F84C75"/>
    <w:rsid w:val="00F84EE9"/>
    <w:rsid w:val="00F85413"/>
    <w:rsid w:val="00F858AF"/>
    <w:rsid w:val="00F86253"/>
    <w:rsid w:val="00F8688F"/>
    <w:rsid w:val="00F868E5"/>
    <w:rsid w:val="00F86FBC"/>
    <w:rsid w:val="00F875ED"/>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681"/>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D5E97"/>
    <w:rsid w:val="00FE0C3B"/>
    <w:rsid w:val="00FE0E13"/>
    <w:rsid w:val="00FE174A"/>
    <w:rsid w:val="00FE197B"/>
    <w:rsid w:val="00FE1D34"/>
    <w:rsid w:val="00FE2A51"/>
    <w:rsid w:val="00FE347A"/>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Number 5" w:uiPriority="99"/>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B7FC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hello,0h,3h,3H,h31,l3,list 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link w:val="Char2"/>
    <w:rsid w:val="00D8495E"/>
    <w:pPr>
      <w:ind w:left="0" w:firstLine="0"/>
    </w:pPr>
  </w:style>
  <w:style w:type="paragraph" w:customStyle="1" w:styleId="Reference">
    <w:name w:val="Reference"/>
    <w:aliases w:val="ref"/>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3"/>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4"/>
    <w:qFormat/>
  </w:style>
  <w:style w:type="character" w:styleId="af0">
    <w:name w:val="FollowedHyperlink"/>
    <w:uiPriority w:val="99"/>
    <w:rPr>
      <w:rFonts w:eastAsia="宋体"/>
      <w:color w:val="800080"/>
      <w:u w:val="single"/>
      <w:lang w:val="en-US" w:eastAsia="zh-CN" w:bidi="ar-SA"/>
    </w:rPr>
  </w:style>
  <w:style w:type="paragraph" w:styleId="af1">
    <w:name w:val="Balloon Text"/>
    <w:basedOn w:val="a2"/>
    <w:link w:val="Char5"/>
    <w:qFormat/>
    <w:rsid w:val="005456E5"/>
    <w:pPr>
      <w:spacing w:after="0"/>
    </w:pPr>
    <w:rPr>
      <w:rFonts w:ascii="Segoe UI" w:hAnsi="Segoe UI" w:cs="Segoe UI"/>
      <w:sz w:val="18"/>
      <w:szCs w:val="18"/>
    </w:rPr>
  </w:style>
  <w:style w:type="paragraph" w:styleId="af2">
    <w:name w:val="annotation subject"/>
    <w:basedOn w:val="af"/>
    <w:next w:val="af"/>
    <w:link w:val="Char6"/>
    <w:rPr>
      <w:b/>
      <w:bCs/>
    </w:rPr>
  </w:style>
  <w:style w:type="paragraph" w:styleId="af3">
    <w:name w:val="Document Map"/>
    <w:basedOn w:val="a2"/>
    <w:link w:val="Char7"/>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5">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cap Char,Caption Char,Caption Char1 Char,cap Char Char1,Caption Char Char1 Char,cap Char2"/>
    <w:basedOn w:val="a2"/>
    <w:next w:val="a2"/>
    <w:link w:val="Char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列表段落"/>
    <w:basedOn w:val="a2"/>
    <w:link w:val="Char9"/>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rsid w:val="004B7988"/>
    <w:pPr>
      <w:numPr>
        <w:numId w:val="0"/>
      </w:numPr>
      <w:ind w:left="851" w:hanging="284"/>
    </w:pPr>
    <w:rPr>
      <w:rFonts w:eastAsiaTheme="minorEastAsia"/>
    </w:rPr>
  </w:style>
  <w:style w:type="paragraph" w:styleId="26">
    <w:name w:val="List Bullet 2"/>
    <w:basedOn w:val="aa"/>
    <w:rsid w:val="004B7988"/>
    <w:pPr>
      <w:ind w:left="851" w:hanging="284"/>
    </w:pPr>
    <w:rPr>
      <w:rFonts w:eastAsiaTheme="minorEastAsia"/>
    </w:rPr>
  </w:style>
  <w:style w:type="paragraph" w:styleId="32">
    <w:name w:val="List Bullet 3"/>
    <w:basedOn w:val="26"/>
    <w:rsid w:val="004B7988"/>
    <w:pPr>
      <w:ind w:left="1135"/>
    </w:pPr>
  </w:style>
  <w:style w:type="paragraph" w:styleId="52">
    <w:name w:val="List Bullet 5"/>
    <w:basedOn w:val="40"/>
    <w:rsid w:val="004B7988"/>
    <w:pPr>
      <w:numPr>
        <w:numId w:val="0"/>
      </w:numPr>
      <w:ind w:left="1702" w:hanging="284"/>
    </w:pPr>
    <w:rPr>
      <w:rFonts w:eastAsiaTheme="minorEastAsia"/>
    </w:rPr>
  </w:style>
  <w:style w:type="paragraph" w:customStyle="1" w:styleId="Figure">
    <w:name w:val="Figure"/>
    <w:basedOn w:val="a2"/>
    <w:next w:val="af7"/>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a"/>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a">
    <w:name w:val="正文文本 Char"/>
    <w:basedOn w:val="a3"/>
    <w:link w:val="afd"/>
    <w:rsid w:val="004B7988"/>
    <w:rPr>
      <w:rFonts w:ascii="Arial" w:eastAsiaTheme="minorEastAsia" w:hAnsi="Arial"/>
      <w:lang w:val="en-GB" w:eastAsia="zh-CN"/>
    </w:rPr>
  </w:style>
  <w:style w:type="paragraph" w:customStyle="1" w:styleId="Observation">
    <w:name w:val="Observation"/>
    <w:basedOn w:val="Proposal"/>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4">
    <w:name w:val="批注文字 Char"/>
    <w:link w:val="af"/>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6">
    <w:name w:val="批注主题 Char"/>
    <w:link w:val="af2"/>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B7988"/>
    <w:rPr>
      <w:rFonts w:ascii="Arial" w:eastAsia="Times New Roman" w:hAnsi="Arial"/>
      <w:sz w:val="24"/>
      <w:lang w:val="en-GB"/>
    </w:rPr>
  </w:style>
  <w:style w:type="character" w:customStyle="1" w:styleId="Char1">
    <w:name w:val="脚注文本 Char"/>
    <w:link w:val="a9"/>
    <w:rsid w:val="004B7988"/>
    <w:rPr>
      <w:rFonts w:eastAsia="Times New Roman"/>
      <w:sz w:val="16"/>
      <w:lang w:val="en-GB"/>
    </w:rPr>
  </w:style>
  <w:style w:type="paragraph" w:customStyle="1" w:styleId="FL">
    <w:name w:val="FL"/>
    <w:basedOn w:val="a2"/>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9">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4B7988"/>
    <w:rPr>
      <w:rFonts w:eastAsia="Times New Roman"/>
      <w:lang w:val="en-GB"/>
    </w:rPr>
  </w:style>
  <w:style w:type="paragraph" w:customStyle="1" w:styleId="B1">
    <w:name w:val="B1+"/>
    <w:basedOn w:val="B10"/>
    <w:link w:val="B1Car"/>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rsid w:val="004B7988"/>
    <w:rPr>
      <w:rFonts w:eastAsiaTheme="minorEastAsia"/>
      <w:lang w:val="en-GB" w:eastAsia="en-GB"/>
    </w:rPr>
  </w:style>
  <w:style w:type="paragraph" w:customStyle="1" w:styleId="NormalArial">
    <w:name w:val="Normal + Arial"/>
    <w:aliases w:val="9 pt,Left:  0,45 cm,After:  0 pt,First line:  0,08 ch,TAL + Bold,2 cm"/>
    <w:basedOn w:val="a2"/>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rsid w:val="004B7988"/>
    <w:rPr>
      <w:rFonts w:ascii="Arial" w:eastAsia="Times New Roman" w:hAnsi="Arial"/>
      <w:sz w:val="22"/>
      <w:lang w:val="en-GB"/>
    </w:rPr>
  </w:style>
  <w:style w:type="character" w:customStyle="1" w:styleId="8Char">
    <w:name w:val="标题 8 Char"/>
    <w:link w:val="8"/>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3">
    <w:name w:val="页脚 Char"/>
    <w:link w:val="ac"/>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qFormat/>
    <w:locked/>
    <w:rsid w:val="004B7988"/>
    <w:rPr>
      <w:rFonts w:eastAsia="Times New Roman"/>
      <w:lang w:val="en-GB"/>
    </w:rPr>
  </w:style>
  <w:style w:type="paragraph" w:customStyle="1" w:styleId="FirstChange">
    <w:name w:val="First Change"/>
    <w:basedOn w:val="a2"/>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qFormat/>
    <w:rsid w:val="004B7988"/>
    <w:pPr>
      <w:spacing w:after="160" w:line="259" w:lineRule="auto"/>
      <w:jc w:val="both"/>
    </w:pPr>
    <w:rPr>
      <w:rFonts w:eastAsia="宋体"/>
      <w:kern w:val="2"/>
      <w:sz w:val="21"/>
      <w:szCs w:val="21"/>
      <w:lang w:eastAsia="zh-CN"/>
    </w:rPr>
  </w:style>
  <w:style w:type="character" w:customStyle="1" w:styleId="Char7">
    <w:name w:val="文档结构图 Char"/>
    <w:link w:val="af3"/>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qFormat/>
    <w:rsid w:val="004B7988"/>
    <w:pPr>
      <w:ind w:left="113"/>
    </w:pPr>
    <w:rPr>
      <w:rFonts w:eastAsia="宋体"/>
      <w:bCs/>
      <w:noProof/>
    </w:rPr>
  </w:style>
  <w:style w:type="paragraph" w:customStyle="1" w:styleId="TALLeft04cm">
    <w:name w:val="TAL + Left: 0.4 cm"/>
    <w:basedOn w:val="TALLeft02cm"/>
    <w:qFormat/>
    <w:rsid w:val="004B7988"/>
    <w:pPr>
      <w:ind w:left="227"/>
    </w:pPr>
  </w:style>
  <w:style w:type="paragraph" w:customStyle="1" w:styleId="TALLeft06cm">
    <w:name w:val="TAL + Left: 0.6 cm"/>
    <w:basedOn w:val="TALLeft04cm"/>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rsid w:val="005C19C0"/>
    <w:rPr>
      <w:rFonts w:ascii="Arial" w:eastAsia="Times New Roman" w:hAnsi="Arial"/>
      <w:lang w:val="en-GB"/>
    </w:rPr>
  </w:style>
  <w:style w:type="character" w:customStyle="1" w:styleId="9Char">
    <w:name w:val="标题 9 Char"/>
    <w:basedOn w:val="a3"/>
    <w:link w:val="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8">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link w:val="TALLeft100cmCharChar"/>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3">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27">
    <w:name w:val="样式2"/>
    <w:basedOn w:val="3"/>
    <w:link w:val="2Char0"/>
    <w:qFormat/>
    <w:rsid w:val="009A785A"/>
    <w:pPr>
      <w:spacing w:beforeLines="50"/>
    </w:pPr>
    <w:rPr>
      <w:sz w:val="24"/>
    </w:rPr>
  </w:style>
  <w:style w:type="character" w:customStyle="1" w:styleId="2Char0">
    <w:name w:val="样式2 Char"/>
    <w:basedOn w:val="a3"/>
    <w:link w:val="27"/>
    <w:rsid w:val="009A785A"/>
    <w:rPr>
      <w:rFonts w:ascii="Arial" w:eastAsia="Times New Roman" w:hAnsi="Arial"/>
      <w:sz w:val="24"/>
      <w:lang w:val="en-GB"/>
    </w:rPr>
  </w:style>
  <w:style w:type="character" w:styleId="aff4">
    <w:name w:val="Emphasis"/>
    <w:uiPriority w:val="20"/>
    <w:qFormat/>
    <w:rsid w:val="00C253A0"/>
    <w:rPr>
      <w:i/>
      <w:iCs/>
    </w:rPr>
  </w:style>
  <w:style w:type="paragraph" w:customStyle="1" w:styleId="INDENT2">
    <w:name w:val="INDENT2"/>
    <w:basedOn w:val="a2"/>
    <w:rsid w:val="00C253A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C253A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253A0"/>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253A0"/>
    <w:pPr>
      <w:overflowPunct w:val="0"/>
      <w:autoSpaceDE w:val="0"/>
      <w:autoSpaceDN w:val="0"/>
      <w:adjustRightInd w:val="0"/>
      <w:ind w:left="425"/>
      <w:textAlignment w:val="baseline"/>
    </w:pPr>
    <w:rPr>
      <w:rFonts w:eastAsia="等线"/>
      <w:lang w:eastAsia="en-GB"/>
    </w:rPr>
  </w:style>
  <w:style w:type="character" w:customStyle="1" w:styleId="TALLeft100cmCharChar">
    <w:name w:val="TAL + Left:  1;00 cm Char Char"/>
    <w:link w:val="TALLeft1"/>
    <w:rsid w:val="00C253A0"/>
    <w:rPr>
      <w:rFonts w:ascii="Arial" w:eastAsia="宋体" w:hAnsi="Arial" w:cs="Arial"/>
      <w:sz w:val="18"/>
      <w:szCs w:val="18"/>
      <w:lang w:val="en-GB" w:eastAsia="ko-KR"/>
    </w:rPr>
  </w:style>
  <w:style w:type="paragraph" w:customStyle="1" w:styleId="TALLeft10">
    <w:name w:val="TAL + Left: 1"/>
    <w:aliases w:val="50 cm"/>
    <w:basedOn w:val="TALLeft125cm"/>
    <w:rsid w:val="00C253A0"/>
    <w:pPr>
      <w:ind w:left="851"/>
    </w:pPr>
    <w:rPr>
      <w:rFonts w:eastAsia="Batang"/>
    </w:rPr>
  </w:style>
  <w:style w:type="paragraph" w:styleId="aff5">
    <w:name w:val="index heading"/>
    <w:basedOn w:val="a2"/>
    <w:next w:val="a2"/>
    <w:rsid w:val="00C253A0"/>
    <w:pPr>
      <w:pBdr>
        <w:top w:val="single" w:sz="12" w:space="0" w:color="auto"/>
      </w:pBdr>
      <w:spacing w:before="360" w:after="240"/>
    </w:pPr>
    <w:rPr>
      <w:rFonts w:eastAsia="MS Mincho"/>
      <w:b/>
      <w:i/>
      <w:sz w:val="26"/>
    </w:rPr>
  </w:style>
  <w:style w:type="paragraph" w:customStyle="1" w:styleId="INDENT1">
    <w:name w:val="INDENT1"/>
    <w:basedOn w:val="a2"/>
    <w:rsid w:val="00C253A0"/>
    <w:pPr>
      <w:ind w:left="851"/>
    </w:pPr>
    <w:rPr>
      <w:rFonts w:eastAsia="MS Mincho"/>
    </w:rPr>
  </w:style>
  <w:style w:type="paragraph" w:customStyle="1" w:styleId="INDENT3">
    <w:name w:val="INDENT3"/>
    <w:basedOn w:val="a2"/>
    <w:rsid w:val="00C253A0"/>
    <w:pPr>
      <w:ind w:left="1701" w:hanging="567"/>
    </w:pPr>
    <w:rPr>
      <w:rFonts w:eastAsia="MS Mincho"/>
    </w:rPr>
  </w:style>
  <w:style w:type="paragraph" w:customStyle="1" w:styleId="FigureTitle">
    <w:name w:val="Figure_Title"/>
    <w:basedOn w:val="a2"/>
    <w:next w:val="a2"/>
    <w:rsid w:val="00C253A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C253A0"/>
    <w:pPr>
      <w:keepNext/>
      <w:keepLines/>
    </w:pPr>
    <w:rPr>
      <w:rFonts w:eastAsia="MS Mincho"/>
      <w:b/>
    </w:rPr>
  </w:style>
  <w:style w:type="paragraph" w:customStyle="1" w:styleId="CouvRecTitle">
    <w:name w:val="Couv Rec Title"/>
    <w:basedOn w:val="a2"/>
    <w:rsid w:val="00C253A0"/>
    <w:pPr>
      <w:keepNext/>
      <w:keepLines/>
      <w:spacing w:before="240"/>
      <w:ind w:left="1418"/>
    </w:pPr>
    <w:rPr>
      <w:rFonts w:ascii="Arial" w:eastAsia="MS Mincho" w:hAnsi="Arial"/>
      <w:b/>
      <w:sz w:val="36"/>
      <w:lang w:val="en-US"/>
    </w:rPr>
  </w:style>
  <w:style w:type="paragraph" w:styleId="aff6">
    <w:name w:val="Plain Text"/>
    <w:basedOn w:val="a2"/>
    <w:link w:val="Charb"/>
    <w:uiPriority w:val="99"/>
    <w:rsid w:val="00C253A0"/>
    <w:rPr>
      <w:rFonts w:ascii="Courier New" w:eastAsia="MS Mincho" w:hAnsi="Courier New"/>
      <w:lang w:val="nb-NO" w:eastAsia="x-none"/>
    </w:rPr>
  </w:style>
  <w:style w:type="character" w:customStyle="1" w:styleId="Charb">
    <w:name w:val="纯文本 Char"/>
    <w:basedOn w:val="a3"/>
    <w:link w:val="aff6"/>
    <w:uiPriority w:val="99"/>
    <w:rsid w:val="00C253A0"/>
    <w:rPr>
      <w:rFonts w:ascii="Courier New" w:hAnsi="Courier New"/>
      <w:lang w:val="nb-NO" w:eastAsia="x-none"/>
    </w:rPr>
  </w:style>
  <w:style w:type="paragraph" w:styleId="aff7">
    <w:name w:val="Body Text Indent"/>
    <w:basedOn w:val="a2"/>
    <w:link w:val="Charc"/>
    <w:rsid w:val="00C253A0"/>
    <w:pPr>
      <w:spacing w:after="120"/>
      <w:ind w:left="283"/>
    </w:pPr>
    <w:rPr>
      <w:rFonts w:eastAsia="MS Mincho"/>
      <w:lang w:eastAsia="x-none"/>
    </w:rPr>
  </w:style>
  <w:style w:type="character" w:customStyle="1" w:styleId="Charc">
    <w:name w:val="正文文本缩进 Char"/>
    <w:basedOn w:val="a3"/>
    <w:link w:val="aff7"/>
    <w:rsid w:val="00C253A0"/>
    <w:rPr>
      <w:lang w:val="en-GB" w:eastAsia="x-none"/>
    </w:rPr>
  </w:style>
  <w:style w:type="paragraph" w:customStyle="1" w:styleId="BalloonText1">
    <w:name w:val="Balloon Text1"/>
    <w:basedOn w:val="a2"/>
    <w:semiHidden/>
    <w:rsid w:val="00C253A0"/>
    <w:rPr>
      <w:rFonts w:ascii="Tahoma" w:eastAsia="MS Mincho" w:hAnsi="Tahoma" w:cs="Tahoma"/>
      <w:sz w:val="16"/>
      <w:szCs w:val="16"/>
    </w:rPr>
  </w:style>
  <w:style w:type="paragraph" w:customStyle="1" w:styleId="ZchnZchn">
    <w:name w:val="Zchn Zchn"/>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
    <w:next w:val="af"/>
    <w:semiHidden/>
    <w:rsid w:val="00C253A0"/>
    <w:rPr>
      <w:rFonts w:eastAsia="MS Mincho"/>
      <w:b/>
      <w:bCs/>
      <w:lang w:eastAsia="x-none"/>
    </w:rPr>
  </w:style>
  <w:style w:type="paragraph" w:customStyle="1" w:styleId="Char3CharCharCharCharChar">
    <w:name w:val="Char3 Char Char Char (文字) (文字) Char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C253A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C253A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C253A0"/>
    <w:pPr>
      <w:widowControl w:val="0"/>
      <w:spacing w:beforeLines="50" w:afterLines="50"/>
      <w:jc w:val="both"/>
      <w:outlineLvl w:val="1"/>
    </w:pPr>
    <w:rPr>
      <w:rFonts w:ascii="Arial" w:eastAsia="Arial" w:hAnsi="Arial"/>
      <w:kern w:val="2"/>
      <w:sz w:val="24"/>
      <w:szCs w:val="24"/>
      <w:lang w:eastAsia="ja-JP"/>
    </w:rPr>
  </w:style>
  <w:style w:type="paragraph" w:customStyle="1" w:styleId="Chard">
    <w:name w:val="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C253A0"/>
    <w:pPr>
      <w:spacing w:after="120"/>
      <w:ind w:left="284" w:hanging="284"/>
    </w:pPr>
    <w:rPr>
      <w:rFonts w:ascii="Arial" w:eastAsia="MS Mincho" w:hAnsi="Arial"/>
      <w:szCs w:val="22"/>
    </w:rPr>
  </w:style>
  <w:style w:type="paragraph" w:customStyle="1" w:styleId="BalloonText2">
    <w:name w:val="Balloon Text2"/>
    <w:basedOn w:val="a2"/>
    <w:semiHidden/>
    <w:rsid w:val="00C253A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C253A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C253A0"/>
    <w:pPr>
      <w:spacing w:before="100" w:beforeAutospacing="1" w:after="100" w:afterAutospacing="1"/>
    </w:pPr>
    <w:rPr>
      <w:rFonts w:eastAsia="MS Mincho"/>
      <w:sz w:val="24"/>
      <w:szCs w:val="24"/>
      <w:lang w:val="en-US" w:eastAsia="ja-JP"/>
    </w:rPr>
  </w:style>
  <w:style w:type="character" w:customStyle="1" w:styleId="msoins00">
    <w:name w:val="msoins0"/>
    <w:rsid w:val="00C253A0"/>
    <w:rPr>
      <w:rFonts w:ascii="Arial" w:eastAsia="宋体" w:hAnsi="Arial" w:cs="Arial"/>
      <w:color w:val="0000FF"/>
      <w:kern w:val="2"/>
      <w:lang w:val="en-US" w:eastAsia="zh-CN" w:bidi="ar-SA"/>
    </w:rPr>
  </w:style>
  <w:style w:type="character" w:customStyle="1" w:styleId="CharChar2">
    <w:name w:val="Char Char2"/>
    <w:rsid w:val="00C253A0"/>
    <w:rPr>
      <w:rFonts w:ascii="Times New Roman" w:eastAsia="MS Mincho" w:hAnsi="Times New Roman"/>
      <w:lang w:val="en-GB" w:eastAsia="en-US"/>
    </w:rPr>
  </w:style>
  <w:style w:type="character" w:customStyle="1" w:styleId="H6Char">
    <w:name w:val="H6 Char"/>
    <w:link w:val="H6"/>
    <w:rsid w:val="00C253A0"/>
    <w:rPr>
      <w:rFonts w:ascii="Arial" w:eastAsia="Times New Roman" w:hAnsi="Arial"/>
      <w:lang w:val="en-GB"/>
    </w:rPr>
  </w:style>
  <w:style w:type="character" w:customStyle="1" w:styleId="UnresolvedMention1">
    <w:name w:val="Unresolved Mention1"/>
    <w:uiPriority w:val="99"/>
    <w:semiHidden/>
    <w:unhideWhenUsed/>
    <w:rsid w:val="00C253A0"/>
    <w:rPr>
      <w:color w:val="605E5C"/>
      <w:shd w:val="clear" w:color="auto" w:fill="E1DFDD"/>
    </w:rPr>
  </w:style>
  <w:style w:type="paragraph" w:customStyle="1" w:styleId="Discussion">
    <w:name w:val="Discussion"/>
    <w:basedOn w:val="a2"/>
    <w:rsid w:val="00C253A0"/>
    <w:rPr>
      <w:rFonts w:ascii="Arial" w:eastAsia="等线" w:hAnsi="Arial" w:cs="Arial"/>
    </w:rPr>
  </w:style>
  <w:style w:type="character" w:customStyle="1" w:styleId="Mention1">
    <w:name w:val="Mention1"/>
    <w:uiPriority w:val="99"/>
    <w:semiHidden/>
    <w:unhideWhenUsed/>
    <w:rsid w:val="00C253A0"/>
    <w:rPr>
      <w:color w:val="2B579A"/>
      <w:shd w:val="clear" w:color="auto" w:fill="E6E6E6"/>
    </w:rPr>
  </w:style>
  <w:style w:type="character" w:customStyle="1" w:styleId="Char2">
    <w:name w:val="列表项目符号 Char"/>
    <w:link w:val="aa"/>
    <w:rsid w:val="00C253A0"/>
    <w:rPr>
      <w:rFonts w:eastAsia="宋体"/>
      <w:lang w:val="en-GB"/>
    </w:rPr>
  </w:style>
  <w:style w:type="character" w:customStyle="1" w:styleId="TFChar1">
    <w:name w:val="TF Char1"/>
    <w:rsid w:val="00C253A0"/>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C253A0"/>
    <w:pPr>
      <w:widowControl w:val="0"/>
      <w:spacing w:after="0"/>
      <w:jc w:val="both"/>
    </w:pPr>
    <w:rPr>
      <w:rFonts w:eastAsia="宋体"/>
      <w:kern w:val="2"/>
      <w:sz w:val="21"/>
      <w:szCs w:val="24"/>
      <w:lang w:val="en-US" w:eastAsia="zh-CN"/>
    </w:rPr>
  </w:style>
  <w:style w:type="paragraph" w:customStyle="1" w:styleId="textintend1">
    <w:name w:val="text intend 1"/>
    <w:basedOn w:val="a2"/>
    <w:rsid w:val="00C253A0"/>
    <w:pPr>
      <w:tabs>
        <w:tab w:val="left" w:pos="992"/>
      </w:tabs>
      <w:spacing w:after="120"/>
      <w:ind w:left="567" w:hanging="283"/>
      <w:jc w:val="both"/>
    </w:pPr>
    <w:rPr>
      <w:rFonts w:eastAsia="MS Mincho"/>
      <w:sz w:val="24"/>
      <w:lang w:val="en-US"/>
    </w:rPr>
  </w:style>
  <w:style w:type="character" w:customStyle="1" w:styleId="Mention">
    <w:name w:val="Mention"/>
    <w:uiPriority w:val="99"/>
    <w:semiHidden/>
    <w:unhideWhenUsed/>
    <w:rsid w:val="00C253A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17519640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47341386">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43CC5-A870-4A52-96D4-58B73332D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2751</TotalTime>
  <Pages>6</Pages>
  <Words>2537</Words>
  <Characters>14463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Huawei-Yulong</cp:lastModifiedBy>
  <cp:revision>94</cp:revision>
  <cp:lastPrinted>2009-04-22T07:01:00Z</cp:lastPrinted>
  <dcterms:created xsi:type="dcterms:W3CDTF">2022-10-27T12:05:00Z</dcterms:created>
  <dcterms:modified xsi:type="dcterms:W3CDTF">2022-11-04T07:17:00Z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(3)yN6xqGCihVF2GGnb9WbFB/QrXa5q13MDkGSUH43CbuJ1zJVaq2py7udR2hNM7EFFInDKT8OQ
Z4G6LX/yoqXzxOrcFAT+7ZxlPWxRLHUIu4EZHrcndDI3puUu3uaNTGRRN6WvMapsXkuPQKBg
lAYg6i19TFCrtyqUsk++aFcD5OswrGSRoqS1e1G7cwaBayG7fdGaefADAKZ+MPSmIOTdCfcm
2IE6k/jlkxSKqpNvR1</vt:lpwstr>
  </property>
  <property fmtid="{D5CDD505-2E9C-101B-9397-08002B2CF9AE}" pid="17" name="_2015_ms_pID_7253431">
    <vt:lpwstr>nIStgvAgWorDA4PzWucMMB6X2ql18e6GBQx55Uqpfx7xUuynHwA463
ti5Zk8BuOyNVVZvpIG42g7tLCW5tFoWlzCRitpUQHYcfn/3K8PmiefDWXAJiDWR4HuR0yfGd
ELw1daKGm1qba3ZjHybuLkoyMF//tsSZXaiXQDwwbF+kOajOf2DxNxNWdLB6WLn2GJdp/Eqk
lNyJqEdJZCjDOj8E/Iwb63dpqTx6cBU+1kKz</vt:lpwstr>
  </property>
  <property fmtid="{D5CDD505-2E9C-101B-9397-08002B2CF9AE}" pid="18" name="_2015_ms_pID_7253432">
    <vt:lpwstr>j6gIMu0BL/8NKa1Cc0HjF30=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1667526155</vt:lpwstr>
  </property>
</Properties>
</file>